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center"/>
        <w:rPr>
          <w:rFonts w:ascii="Times New Roman" w:eastAsia="宋体" w:cs="Times New Roman"/>
          <w:b/>
          <w:bCs/>
          <w:color w:val="auto"/>
          <w:sz w:val="84"/>
          <w:szCs w:val="84"/>
        </w:rPr>
      </w:pPr>
      <w:r/>
      <w:bookmarkStart w:id="0" w:name="_Toc383623672"/>
      <w:r/>
      <w:bookmarkStart w:id="1" w:name="_Toc383587456"/>
      <w:r/>
      <w:bookmarkStart w:id="2" w:name="_Toc383623944"/>
      <w:r/>
      <w:bookmarkStart w:id="3" w:name="_Toc383679746"/>
      <w:r/>
      <w:bookmarkStart w:id="4" w:name="_Toc390098840"/>
      <w:r/>
      <w:bookmarkStart w:id="5" w:name="_Toc390099018"/>
      <w:r/>
      <w:bookmarkStart w:id="6" w:name="_Toc383625993"/>
      <w:r/>
      <w:bookmarkStart w:id="7" w:name="_Toc390246905"/>
      <w:r/>
      <w:bookmarkStart w:id="8" w:name="_Toc426469868"/>
      <w:r/>
      <w:bookmarkStart w:id="9" w:name="_Toc383698647"/>
      <w:r>
        <w:t xml:space="preserve"> </w:t>
      </w:r>
      <w:r/>
    </w:p>
    <w:p>
      <w:pPr>
        <w:pStyle w:val="883"/>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883"/>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83"/>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rPr>
          <w:rFonts w:ascii="Times New Roman" w:eastAsia="宋体" w:cs="Times New Roman"/>
          <w:b/>
          <w:bCs/>
          <w:color w:val="auto"/>
          <w:sz w:val="32"/>
          <w:szCs w:val="32"/>
        </w:rPr>
      </w:r>
      <w:r/>
    </w:p>
    <w:p>
      <w:pPr>
        <w:pStyle w:val="883"/>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rPr>
          <w:rFonts w:ascii="Times New Roman" w:eastAsia="宋体" w:cs="Times New Roman"/>
          <w:b/>
          <w:bCs/>
          <w:color w:val="auto"/>
          <w:sz w:val="32"/>
          <w:szCs w:val="32"/>
        </w:rPr>
      </w:r>
      <w:r/>
    </w:p>
    <w:p>
      <w:pPr>
        <w:pStyle w:val="883"/>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83"/>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firstLine="1205"/>
        <w:jc w:val="left"/>
        <w:widowControl/>
        <w:rPr>
          <w:b/>
          <w:bCs/>
          <w:sz w:val="30"/>
          <w:szCs w:val="30"/>
        </w:rPr>
      </w:pPr>
      <w:r>
        <w:rPr>
          <w:b/>
          <w:bCs/>
          <w:sz w:val="30"/>
          <w:szCs w:val="30"/>
        </w:rPr>
        <w:t xml:space="preserve">项目名称</w:t>
      </w:r>
      <w:r>
        <w:rPr>
          <w:sz w:val="30"/>
          <w:szCs w:val="30"/>
        </w:rPr>
        <w:t xml:space="preserve">：</w:t>
      </w:r>
      <w:r>
        <w:rPr>
          <w:rFonts w:hint="eastAsia"/>
          <w:b/>
          <w:bCs/>
          <w:sz w:val="30"/>
          <w:szCs w:val="30"/>
        </w:rPr>
        <w:t xml:space="preserve">泰兴市区域性农业综合服务中心建设项目</w:t>
      </w:r>
      <w:r/>
    </w:p>
    <w:p>
      <w:pPr>
        <w:pStyle w:val="892"/>
        <w:rPr>
          <w:sz w:val="30"/>
          <w:szCs w:val="30"/>
        </w:rPr>
      </w:pPr>
      <w:r>
        <w:rPr>
          <w:sz w:val="30"/>
          <w:szCs w:val="30"/>
        </w:rPr>
      </w:r>
      <w:r/>
    </w:p>
    <w:p>
      <w:pPr>
        <w:ind w:firstLine="1205"/>
        <w:widowControl/>
        <w:rPr>
          <w:b/>
          <w:bCs/>
          <w:sz w:val="30"/>
          <w:szCs w:val="30"/>
        </w:rPr>
      </w:pPr>
      <w:r>
        <w:rPr>
          <w:b/>
          <w:bCs/>
          <w:sz w:val="30"/>
          <w:szCs w:val="30"/>
        </w:rPr>
        <w:t xml:space="preserve">项目编号：</w:t>
      </w:r>
      <w:r>
        <w:rPr>
          <w:b/>
          <w:bCs/>
          <w:sz w:val="30"/>
          <w:szCs w:val="30"/>
        </w:rPr>
        <w:t xml:space="preserve">JSZC-321283-RTZX-G2026-0007</w:t>
      </w:r>
      <w:r/>
    </w:p>
    <w:p>
      <w:pPr>
        <w:pStyle w:val="883"/>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83"/>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83"/>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83"/>
        <w:ind w:firstLine="723"/>
        <w:jc w:val="center"/>
        <w:spacing w:line="540" w:lineRule="exact"/>
        <w:rPr>
          <w:rFonts w:ascii="Times New Roman" w:eastAsia="宋体" w:cs="Times New Roman"/>
          <w:b/>
          <w:bCs/>
          <w:color w:val="auto"/>
          <w:sz w:val="36"/>
          <w:szCs w:val="36"/>
        </w:rPr>
      </w:pPr>
      <w:r>
        <w:rPr>
          <w:rFonts w:ascii="Times New Roman" w:eastAsia="宋体" w:cs="Times New Roman"/>
          <w:b/>
          <w:color w:val="auto"/>
          <w:sz w:val="36"/>
          <w:szCs w:val="36"/>
        </w:rPr>
      </w:r>
      <w:r>
        <w:rPr>
          <w:rFonts w:ascii="Times New Roman" w:eastAsia="宋体" w:cs="Times New Roman"/>
          <w:b/>
          <w:color w:val="auto"/>
          <w:sz w:val="36"/>
          <w:szCs w:val="36"/>
        </w:rPr>
      </w:r>
      <w:r/>
    </w:p>
    <w:p>
      <w:pPr>
        <w:pStyle w:val="883"/>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rPr>
          <w:rFonts w:ascii="Times New Roman" w:eastAsia="宋体" w:cs="Times New Roman"/>
          <w:b/>
          <w:bCs/>
          <w:color w:val="auto"/>
          <w:sz w:val="36"/>
          <w:szCs w:val="36"/>
        </w:rPr>
      </w:r>
      <w:r/>
    </w:p>
    <w:p>
      <w:pPr>
        <w:pStyle w:val="883"/>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rPr>
          <w:rFonts w:ascii="Times New Roman" w:eastAsia="宋体" w:cs="Times New Roman"/>
          <w:b/>
          <w:bCs/>
          <w:color w:val="auto"/>
          <w:sz w:val="36"/>
          <w:szCs w:val="36"/>
        </w:rPr>
      </w:r>
      <w:r/>
    </w:p>
    <w:p>
      <w:pPr>
        <w:pStyle w:val="883"/>
        <w:ind w:firstLine="723"/>
        <w:jc w:val="center"/>
        <w:spacing w:line="540" w:lineRule="exact"/>
        <w:rPr>
          <w:rFonts w:ascii="Times New Roman" w:eastAsia="宋体" w:cs="Times New Roman"/>
          <w:b/>
          <w:bCs/>
          <w:color w:val="auto"/>
          <w:sz w:val="36"/>
          <w:szCs w:val="36"/>
        </w:rPr>
      </w:pPr>
      <w:r>
        <w:rPr>
          <w:rFonts w:ascii="Times New Roman" w:eastAsia="宋体" w:cs="Times New Roman"/>
          <w:b/>
          <w:color w:val="auto"/>
          <w:sz w:val="36"/>
          <w:szCs w:val="36"/>
        </w:rPr>
      </w:r>
      <w:r/>
    </w:p>
    <w:p>
      <w:pPr>
        <w:pStyle w:val="883"/>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936"/>
        <w:ind w:firstLine="0"/>
        <w:jc w:val="center"/>
        <w:spacing w:before="0" w:after="0" w:line="600" w:lineRule="exact"/>
        <w:rPr>
          <w:rFonts w:ascii="宋体" w:hAnsi="宋体" w:cs="宋体"/>
          <w:b/>
          <w:bCs/>
          <w:sz w:val="36"/>
          <w:szCs w:val="36"/>
        </w:rPr>
      </w:pPr>
      <w:r/>
      <w:bookmarkStart w:id="10" w:name="OLE_LINK46"/>
      <w:r/>
      <w:bookmarkStart w:id="11" w:name="OLE_LINK50"/>
      <w:r>
        <w:rPr>
          <w:rFonts w:hint="eastAsia" w:ascii="宋体" w:hAnsi="宋体" w:cs="宋体"/>
          <w:b/>
          <w:bCs/>
          <w:sz w:val="36"/>
          <w:szCs w:val="36"/>
        </w:rPr>
        <w:t xml:space="preserve">泰兴市农业技术推广中心</w:t>
      </w:r>
      <w:bookmarkEnd w:id="10"/>
      <w:r/>
      <w:bookmarkEnd w:id="11"/>
      <w:r/>
      <w:r/>
    </w:p>
    <w:p>
      <w:pPr>
        <w:pStyle w:val="936"/>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江苏润泰工程项目管理咨询有限公司</w:t>
      </w:r>
      <w:r/>
    </w:p>
    <w:p>
      <w:pPr>
        <w:pStyle w:val="936"/>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二○二六年三月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Start w:id="12" w:name="OLE_LINK126"/>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905"/>
        <w:tblW w:w="0" w:type="auto"/>
        <w:tblInd w:w="143" w:type="dxa"/>
        <w:tblLook w:val="04A0" w:firstRow="1" w:lastRow="0" w:firstColumn="1" w:lastColumn="0" w:noHBand="0" w:noVBand="1"/>
      </w:tblPr>
      <w:tblGrid>
        <w:gridCol w:w="871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泰兴市区域性农业综合服务中心建设</w:t>
            </w:r>
            <w:r>
              <w:rPr>
                <w:rFonts w:hint="eastAsia" w:ascii="宋体" w:hAnsi="宋体" w:cs="宋体"/>
                <w:sz w:val="28"/>
                <w:szCs w:val="28"/>
              </w:rPr>
              <w:t xml:space="preserve">招标项目的潜在投标人应在苏采云获取招标文件，并于</w:t>
            </w:r>
            <w:bookmarkStart w:id="13" w:name="OLE_LINK6"/>
            <w:r/>
            <w:bookmarkStart w:id="14" w:name="OLE_LINK5"/>
            <w:r>
              <w:rPr>
                <w:rFonts w:hint="eastAsia" w:ascii="宋体" w:hAnsi="宋体" w:cs="宋体"/>
                <w:sz w:val="28"/>
                <w:szCs w:val="28"/>
                <w:u w:val="single"/>
              </w:rPr>
              <w:t xml:space="preserve">2026-</w:t>
            </w:r>
            <w:r>
              <w:rPr>
                <w:rFonts w:ascii="宋体" w:hAnsi="宋体" w:cs="宋体"/>
                <w:sz w:val="28"/>
                <w:szCs w:val="28"/>
                <w:u w:val="single"/>
              </w:rPr>
              <w:t xml:space="preserve">4</w:t>
            </w:r>
            <w:r>
              <w:rPr>
                <w:rFonts w:hint="eastAsia" w:ascii="宋体" w:hAnsi="宋体" w:cs="宋体"/>
                <w:sz w:val="28"/>
                <w:szCs w:val="28"/>
                <w:u w:val="single"/>
              </w:rPr>
              <w:t xml:space="preserve">-</w:t>
            </w:r>
            <w:r>
              <w:rPr>
                <w:rFonts w:ascii="宋体" w:hAnsi="宋体" w:cs="宋体"/>
                <w:sz w:val="28"/>
                <w:szCs w:val="28"/>
                <w:u w:val="single"/>
              </w:rPr>
              <w:t xml:space="preserve">20 </w:t>
            </w:r>
            <w:r>
              <w:rPr>
                <w:rFonts w:hint="eastAsia" w:ascii="宋体" w:hAnsi="宋体" w:cs="宋体"/>
                <w:sz w:val="28"/>
                <w:szCs w:val="28"/>
                <w:u w:val="single"/>
              </w:rPr>
              <w:t xml:space="preserve"> </w:t>
            </w:r>
            <w:r>
              <w:rPr>
                <w:rFonts w:ascii="宋体" w:hAnsi="宋体" w:cs="宋体"/>
                <w:sz w:val="28"/>
                <w:szCs w:val="28"/>
                <w:u w:val="single"/>
              </w:rPr>
              <w:t xml:space="preserve">9</w:t>
            </w:r>
            <w:r>
              <w:rPr>
                <w:rFonts w:hint="eastAsia" w:ascii="宋体" w:hAnsi="宋体" w:cs="宋体"/>
                <w:sz w:val="28"/>
                <w:szCs w:val="28"/>
                <w:u w:val="single"/>
              </w:rPr>
              <w:t xml:space="preserve">:</w:t>
            </w:r>
            <w:r>
              <w:rPr>
                <w:rFonts w:ascii="宋体" w:hAnsi="宋体" w:cs="宋体"/>
                <w:sz w:val="28"/>
                <w:szCs w:val="28"/>
                <w:u w:val="single"/>
              </w:rPr>
              <w:t xml:space="preserve">0</w:t>
            </w:r>
            <w:r>
              <w:rPr>
                <w:rFonts w:hint="eastAsia" w:ascii="宋体" w:hAnsi="宋体" w:cs="宋体"/>
                <w:sz w:val="28"/>
                <w:szCs w:val="28"/>
                <w:u w:val="single"/>
              </w:rPr>
              <w:t xml:space="preserve">0</w:t>
            </w:r>
            <w:bookmarkEnd w:id="13"/>
            <w:r/>
            <w:bookmarkEnd w:id="14"/>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JSZC-321283-RTZX-G2026-0007</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w:t>
      </w:r>
      <w:bookmarkStart w:id="15" w:name="OLE_LINK21"/>
      <w:r/>
      <w:bookmarkStart w:id="16" w:name="OLE_LINK44"/>
      <w:r/>
      <w:bookmarkStart w:id="17" w:name="OLE_LINK45"/>
      <w:r>
        <w:rPr>
          <w:rFonts w:hint="eastAsia" w:ascii="宋体" w:hAnsi="宋体" w:cs="宋体"/>
          <w:sz w:val="28"/>
          <w:szCs w:val="28"/>
        </w:rPr>
        <w:t xml:space="preserve">泰兴市区域性农业综合服务中心建设项目</w:t>
      </w:r>
      <w:bookmarkEnd w:id="15"/>
      <w:r/>
      <w:bookmarkEnd w:id="16"/>
      <w:r/>
      <w:bookmarkEnd w:id="17"/>
      <w:r/>
      <w:r/>
    </w:p>
    <w:p>
      <w:pPr>
        <w:ind w:firstLine="560"/>
        <w:spacing w:line="540" w:lineRule="exact"/>
        <w:rPr>
          <w:rFonts w:ascii="宋体" w:hAnsi="宋体" w:cs="宋体"/>
          <w:sz w:val="28"/>
          <w:szCs w:val="28"/>
        </w:rPr>
      </w:pPr>
      <w:r/>
      <w:bookmarkStart w:id="18" w:name="OLE_LINK1"/>
      <w:r/>
      <w:bookmarkStart w:id="19" w:name="OLE_LINK3"/>
      <w:r>
        <w:rPr>
          <w:rFonts w:hint="eastAsia" w:ascii="宋体" w:hAnsi="宋体" w:cs="宋体"/>
          <w:sz w:val="28"/>
          <w:szCs w:val="28"/>
        </w:rPr>
        <w:t xml:space="preserve">预算金额：620万元</w:t>
      </w:r>
      <w:r/>
    </w:p>
    <w:p>
      <w:pPr>
        <w:ind w:firstLine="560"/>
        <w:spacing w:line="540" w:lineRule="exact"/>
        <w:rPr>
          <w:rFonts w:ascii="宋体" w:hAnsi="宋体" w:cs="宋体"/>
          <w:sz w:val="28"/>
          <w:szCs w:val="28"/>
        </w:rPr>
      </w:pPr>
      <w:r>
        <w:rPr>
          <w:rFonts w:hint="eastAsia" w:ascii="宋体" w:hAnsi="宋体" w:cs="宋体"/>
          <w:sz w:val="28"/>
          <w:szCs w:val="28"/>
        </w:rPr>
        <w:t xml:space="preserve">最高限价：</w:t>
      </w:r>
      <w:bookmarkStart w:id="20" w:name="OLE_LINK105"/>
      <w:r/>
      <w:bookmarkStart w:id="21" w:name="OLE_LINK104"/>
      <w:r>
        <w:rPr>
          <w:rFonts w:hint="eastAsia" w:ascii="宋体" w:hAnsi="宋体" w:cs="宋体"/>
          <w:sz w:val="28"/>
          <w:szCs w:val="28"/>
        </w:rPr>
        <w:t xml:space="preserve">620万元，投标报价不得超过采购预算价，否则作无效标处理。</w:t>
      </w:r>
      <w:bookmarkEnd w:id="18"/>
      <w:r/>
      <w:bookmarkEnd w:id="19"/>
      <w:r/>
      <w:bookmarkEnd w:id="20"/>
      <w:r/>
      <w:bookmarkEnd w:id="21"/>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bookmarkStart w:id="22" w:name="OLE_LINK10"/>
      <w:r/>
      <w:bookmarkStart w:id="23" w:name="OLE_LINK101"/>
      <w:r/>
      <w:bookmarkStart w:id="24" w:name="OLE_LINK9"/>
      <w:r/>
      <w:bookmarkStart w:id="25" w:name="OLE_LINK139"/>
      <w:r>
        <w:rPr>
          <w:rFonts w:hint="eastAsia" w:ascii="宋体" w:hAnsi="宋体" w:cs="宋体"/>
          <w:sz w:val="28"/>
          <w:szCs w:val="28"/>
        </w:rPr>
        <w:t xml:space="preserve">土壤监测站、农业小环境气象监测站、农情、苗情监测站、病虫害自动监测站、病害自动监测、自动赶蛾统计、害虫性诱智能测报仪、显示屏、小虫体智能测报灯、农业病虫害AR智能测报仪、农业遥感无人机、5G智能无人巡田眼、植物冠层分析仪、农产品快检设备、害虫性诱智能测报仪、病虫害物联网数据分析系统、无人机智能巡田飞控分析软件服务、水稻、小麦模型算法及生产处方、智能灌溉算法等建设、开发、采购、安装、调试、人员培训、售后服务等。具体内容详见招标文件。</w:t>
      </w:r>
      <w:bookmarkEnd w:id="22"/>
      <w:r/>
      <w:bookmarkEnd w:id="23"/>
      <w:r/>
      <w:bookmarkEnd w:id="24"/>
      <w:r/>
      <w:bookmarkEnd w:id="25"/>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w:t>
      </w:r>
      <w:bookmarkStart w:id="26" w:name="OLE_LINK134"/>
      <w:r/>
      <w:bookmarkStart w:id="27" w:name="OLE_LINK133"/>
      <w:r/>
      <w:bookmarkStart w:id="28" w:name="OLE_LINK107"/>
      <w:r/>
      <w:bookmarkStart w:id="29" w:name="OLE_LINK106"/>
      <w:r>
        <w:rPr>
          <w:rFonts w:hint="eastAsia" w:ascii="宋体" w:hAnsi="宋体" w:cs="宋体"/>
          <w:sz w:val="28"/>
          <w:szCs w:val="28"/>
        </w:rPr>
        <w:t xml:space="preserve">合同签订后40日历天交付使用。</w:t>
      </w:r>
      <w:bookmarkEnd w:id="26"/>
      <w:r/>
      <w:bookmarkEnd w:id="27"/>
      <w:r/>
      <w:bookmarkEnd w:id="28"/>
      <w:r/>
      <w:bookmarkEnd w:id="29"/>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w:t>
      </w:r>
      <w:r/>
    </w:p>
    <w:p>
      <w:pPr>
        <w:spacing w:line="540" w:lineRule="exact"/>
        <w:rPr>
          <w:rFonts w:ascii="宋体" w:hAnsi="宋体" w:cs="宋体"/>
          <w:b/>
          <w:sz w:val="28"/>
          <w:szCs w:val="28"/>
        </w:rPr>
      </w:pPr>
      <w:r/>
      <w:bookmarkStart w:id="30" w:name="_Toc28359080"/>
      <w:r/>
      <w:bookmarkStart w:id="31" w:name="_Toc35393622"/>
      <w:r/>
      <w:bookmarkStart w:id="32" w:name="_Toc28359003"/>
      <w:r/>
      <w:bookmarkStart w:id="33" w:name="_Toc35393791"/>
      <w:r>
        <w:rPr>
          <w:rFonts w:hint="eastAsia" w:ascii="宋体" w:hAnsi="宋体" w:cs="宋体"/>
          <w:b/>
          <w:sz w:val="28"/>
          <w:szCs w:val="28"/>
        </w:rPr>
        <w:t xml:space="preserve">二、申请人的资格要求：</w:t>
      </w:r>
      <w:bookmarkEnd w:id="30"/>
      <w:r/>
      <w:bookmarkEnd w:id="31"/>
      <w:r/>
      <w:bookmarkEnd w:id="32"/>
      <w:r/>
      <w:bookmarkEnd w:id="33"/>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bookmarkStart w:id="34" w:name="OLE_LINK19"/>
      <w:r/>
      <w:bookmarkStart w:id="35" w:name="OLE_LINK18"/>
      <w:r>
        <w:rPr>
          <w:rFonts w:hint="eastAsia" w:ascii="宋体" w:hAnsi="宋体" w:cs="宋体"/>
          <w:sz w:val="28"/>
          <w:szCs w:val="28"/>
        </w:rPr>
        <w:t xml:space="preserve">基本资格条件的承诺（根据供应商提供的承诺函，内容完整且具有法人及法定代表人的印章）。</w:t>
      </w:r>
      <w:bookmarkEnd w:id="34"/>
      <w:r/>
      <w:bookmarkEnd w:id="35"/>
      <w:r/>
      <w:r/>
    </w:p>
    <w:p>
      <w:pPr>
        <w:ind w:firstLine="560"/>
        <w:spacing w:line="540" w:lineRule="exact"/>
        <w:rPr>
          <w:rFonts w:ascii="宋体" w:hAnsi="宋体" w:cs="宋体"/>
          <w:sz w:val="28"/>
          <w:szCs w:val="28"/>
        </w:rPr>
      </w:pPr>
      <w:r/>
      <w:bookmarkStart w:id="36" w:name="_Toc28359004"/>
      <w:r/>
      <w:bookmarkStart w:id="37" w:name="_Toc28359081"/>
      <w:r>
        <w:rPr>
          <w:rFonts w:hint="eastAsia" w:ascii="宋体" w:hAnsi="宋体" w:cs="宋体"/>
          <w:sz w:val="28"/>
          <w:szCs w:val="28"/>
        </w:rPr>
        <w:t xml:space="preserve">（二）落实政府采购政策需满足的资格要求：</w:t>
      </w:r>
      <w:bookmarkStart w:id="38" w:name="OLE_LINK17"/>
      <w:r/>
      <w:bookmarkStart w:id="39" w:name="OLE_LINK16"/>
      <w:r/>
      <w:bookmarkStart w:id="40" w:name="OLE_LINK4"/>
      <w:r/>
      <w:bookmarkStart w:id="41" w:name="OLE_LINK7"/>
      <w:r>
        <w:rPr>
          <w:rFonts w:hint="eastAsia" w:ascii="宋体" w:hAnsi="宋体" w:cs="宋体"/>
          <w:sz w:val="28"/>
          <w:szCs w:val="28"/>
        </w:rPr>
        <w:t xml:space="preserve">本项目为非专门面向中小企业的项目。</w:t>
      </w:r>
      <w:bookmarkEnd w:id="38"/>
      <w:r/>
      <w:bookmarkEnd w:id="39"/>
      <w:r/>
      <w:r/>
    </w:p>
    <w:p>
      <w:pPr>
        <w:ind w:firstLine="560"/>
        <w:spacing w:line="540" w:lineRule="exact"/>
        <w:rPr>
          <w:rFonts w:ascii="宋体" w:hAnsi="宋体" w:cs="宋体"/>
          <w:sz w:val="28"/>
          <w:szCs w:val="28"/>
        </w:rPr>
      </w:pPr>
      <w:r/>
      <w:bookmarkStart w:id="42" w:name="_Toc35393627"/>
      <w:r/>
      <w:bookmarkStart w:id="43" w:name="_Toc28359085"/>
      <w:r/>
      <w:bookmarkStart w:id="44" w:name="_Toc28359008"/>
      <w:r/>
      <w:bookmarkStart w:id="45" w:name="_Toc35393796"/>
      <w:r/>
      <w:bookmarkEnd w:id="36"/>
      <w:r/>
      <w:bookmarkEnd w:id="37"/>
      <w:r/>
      <w:bookmarkEnd w:id="40"/>
      <w:r/>
      <w:bookmarkEnd w:id="41"/>
      <w:r>
        <w:rPr>
          <w:rFonts w:hint="eastAsia" w:ascii="宋体" w:hAnsi="宋体" w:cs="宋体"/>
          <w:sz w:val="28"/>
          <w:szCs w:val="28"/>
        </w:rPr>
        <w:t xml:space="preserve">（三）本项目的特定资格要求：</w:t>
      </w:r>
      <w:r/>
    </w:p>
    <w:p>
      <w:pPr>
        <w:ind w:firstLine="560"/>
        <w:spacing w:line="540" w:lineRule="exact"/>
        <w:rPr>
          <w:rFonts w:ascii="宋体" w:hAnsi="宋体" w:cs="宋体"/>
          <w:sz w:val="28"/>
          <w:szCs w:val="28"/>
        </w:rPr>
      </w:pPr>
      <w:r/>
      <w:bookmarkStart w:id="46" w:name="OLE_LINK22"/>
      <w:r/>
      <w:bookmarkStart w:id="47" w:name="OLE_LINK20"/>
      <w:r>
        <w:rPr>
          <w:rFonts w:hint="eastAsia" w:ascii="宋体" w:hAnsi="宋体" w:cs="宋体"/>
          <w:sz w:val="28"/>
          <w:szCs w:val="28"/>
        </w:rPr>
        <w:t xml:space="preserve">（1）本次招标的核心产品是害虫性诱智能测报仪，投标人须至少具有害虫性诱智能测报设备的供货业绩（时间为自2023年1月1日以来。以合同签订时间为准，提供合同扫描件，若合同中不能体现产品名称，须提供辅助证明材料）；</w:t>
      </w:r>
      <w:r/>
    </w:p>
    <w:p>
      <w:pPr>
        <w:ind w:firstLine="560"/>
        <w:spacing w:line="540" w:lineRule="exact"/>
        <w:rPr>
          <w:rFonts w:ascii="宋体" w:hAnsi="宋体" w:cs="宋体"/>
          <w:sz w:val="28"/>
          <w:szCs w:val="28"/>
        </w:rPr>
      </w:pPr>
      <w:r/>
      <w:bookmarkStart w:id="48" w:name="OLE_LINK24"/>
      <w:r/>
      <w:bookmarkStart w:id="49" w:name="OLE_LINK23"/>
      <w:r/>
      <w:bookmarkEnd w:id="46"/>
      <w:r/>
      <w:bookmarkEnd w:id="47"/>
      <w:r>
        <w:rPr>
          <w:rFonts w:hint="eastAsia" w:ascii="宋体" w:hAnsi="宋体" w:cs="宋体"/>
          <w:sz w:val="28"/>
          <w:szCs w:val="28"/>
        </w:rPr>
        <w:t xml:space="preserve">（2）</w:t>
      </w:r>
      <w:bookmarkEnd w:id="48"/>
      <w:r/>
      <w:bookmarkEnd w:id="49"/>
      <w:r>
        <w:rPr>
          <w:rFonts w:hint="eastAsia" w:ascii="宋体" w:hAnsi="宋体" w:cs="宋体"/>
          <w:sz w:val="28"/>
          <w:szCs w:val="28"/>
        </w:rPr>
        <w:t xml:space="preserve">所有监测数据要能够上传苏农云及采购人指定的相关系统（提供承诺函并加盖投标人公章）。</w:t>
      </w:r>
      <w:bookmarkStart w:id="50" w:name="OLE_LINK26"/>
      <w:r/>
      <w:bookmarkStart w:id="51" w:name="OLE_LINK25"/>
      <w:r/>
      <w:bookmarkEnd w:id="50"/>
      <w:r/>
      <w:bookmarkEnd w:id="51"/>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30</w:t>
      </w:r>
      <w:r>
        <w:rPr>
          <w:rFonts w:hint="eastAsia" w:ascii="宋体" w:hAnsi="宋体" w:cs="宋体"/>
          <w:sz w:val="28"/>
          <w:szCs w:val="28"/>
        </w:rPr>
        <w:t xml:space="preserve">－2026-</w:t>
      </w:r>
      <w:r>
        <w:rPr>
          <w:rFonts w:ascii="宋体" w:hAnsi="宋体" w:cs="宋体"/>
          <w:sz w:val="28"/>
          <w:szCs w:val="28"/>
        </w:rPr>
        <w:t xml:space="preserve">4</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52" w:name="_Toc28359005"/>
      <w:r/>
      <w:bookmarkStart w:id="53" w:name="_Toc28359082"/>
      <w:r/>
      <w:bookmarkStart w:id="54" w:name="_Toc35393624"/>
      <w:r/>
      <w:bookmarkStart w:id="55" w:name="_Toc35393793"/>
      <w:r>
        <w:rPr>
          <w:rFonts w:hint="eastAsia" w:ascii="宋体" w:hAnsi="宋体" w:cs="宋体"/>
          <w:b/>
          <w:sz w:val="28"/>
          <w:szCs w:val="28"/>
        </w:rPr>
        <w:t xml:space="preserve">四、提交投标文件</w:t>
      </w:r>
      <w:bookmarkEnd w:id="52"/>
      <w:r/>
      <w:bookmarkEnd w:id="53"/>
      <w:r>
        <w:rPr>
          <w:rFonts w:hint="eastAsia" w:ascii="宋体" w:hAnsi="宋体" w:cs="宋体"/>
          <w:b/>
          <w:sz w:val="28"/>
          <w:szCs w:val="28"/>
        </w:rPr>
        <w:t xml:space="preserve">截止时间、开标时间和地点</w:t>
      </w:r>
      <w:bookmarkEnd w:id="54"/>
      <w:r/>
      <w:bookmarkEnd w:id="55"/>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4</w:t>
      </w:r>
      <w:r>
        <w:rPr>
          <w:rFonts w:hint="eastAsia" w:ascii="宋体" w:hAnsi="宋体" w:cs="宋体"/>
          <w:sz w:val="28"/>
          <w:szCs w:val="28"/>
        </w:rPr>
        <w:t xml:space="preserve">-</w:t>
      </w:r>
      <w:r>
        <w:rPr>
          <w:rFonts w:ascii="宋体" w:hAnsi="宋体" w:cs="宋体"/>
          <w:sz w:val="28"/>
          <w:szCs w:val="28"/>
        </w:rPr>
        <w:t xml:space="preserve">20 </w:t>
      </w:r>
      <w:r>
        <w:rPr>
          <w:rFonts w:hint="eastAsia" w:ascii="宋体" w:hAnsi="宋体" w:cs="宋体"/>
          <w:sz w:val="28"/>
          <w:szCs w:val="28"/>
        </w:rPr>
        <w:t xml:space="preserve"> </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0</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spacing w:line="540" w:lineRule="exact"/>
        <w:rPr>
          <w:rFonts w:ascii="宋体" w:hAnsi="宋体" w:cs="宋体"/>
          <w:b/>
          <w:sz w:val="28"/>
          <w:szCs w:val="28"/>
        </w:rPr>
      </w:pPr>
      <w:r/>
      <w:bookmarkStart w:id="56" w:name="_Toc35393625"/>
      <w:r/>
      <w:bookmarkStart w:id="57" w:name="_Toc28359007"/>
      <w:r/>
      <w:bookmarkStart w:id="58" w:name="_Toc35393794"/>
      <w:r/>
      <w:bookmarkStart w:id="59" w:name="_Toc28359084"/>
      <w:r>
        <w:rPr>
          <w:rFonts w:hint="eastAsia" w:ascii="宋体" w:hAnsi="宋体" w:cs="宋体"/>
          <w:b/>
          <w:sz w:val="28"/>
          <w:szCs w:val="28"/>
        </w:rPr>
        <w:t xml:space="preserve">五、公告期限</w:t>
      </w:r>
      <w:bookmarkEnd w:id="56"/>
      <w:r/>
      <w:bookmarkEnd w:id="57"/>
      <w:r/>
      <w:bookmarkEnd w:id="58"/>
      <w:r/>
      <w:bookmarkEnd w:id="59"/>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60" w:name="_Toc35393626"/>
      <w:r/>
      <w:bookmarkStart w:id="61" w:name="_Toc35393795"/>
      <w:r>
        <w:rPr>
          <w:rFonts w:hint="eastAsia" w:ascii="宋体" w:hAnsi="宋体" w:cs="宋体"/>
          <w:b/>
          <w:sz w:val="28"/>
          <w:szCs w:val="28"/>
        </w:rPr>
        <w:t xml:space="preserve">六、其他补充事宜</w:t>
      </w:r>
      <w:bookmarkEnd w:id="60"/>
      <w:r/>
      <w:bookmarkEnd w:id="61"/>
      <w:r/>
      <w:r/>
    </w:p>
    <w:p>
      <w:pPr>
        <w:ind w:firstLine="560"/>
        <w:spacing w:line="540" w:lineRule="exact"/>
        <w:rPr>
          <w:rFonts w:ascii="宋体" w:hAnsi="宋体" w:cs="宋体"/>
          <w:sz w:val="28"/>
          <w:szCs w:val="28"/>
        </w:rPr>
      </w:pPr>
      <w:r/>
      <w:bookmarkStart w:id="62" w:name="OLE_LINK103"/>
      <w:r/>
      <w:bookmarkStart w:id="63" w:name="OLE_LINK102"/>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w:t>
      </w:r>
      <w:r>
        <w:rPr>
          <w:rFonts w:hint="eastAsia" w:ascii="宋体" w:hAnsi="宋体" w:cs="宋体"/>
          <w:b/>
          <w:sz w:val="28"/>
          <w:szCs w:val="28"/>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62"/>
      <w:r/>
      <w:bookmarkEnd w:id="63"/>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42"/>
      <w:r/>
      <w:bookmarkEnd w:id="43"/>
      <w:r/>
      <w:bookmarkEnd w:id="44"/>
      <w:r/>
      <w:bookmarkEnd w:id="45"/>
      <w:r/>
      <w:r/>
    </w:p>
    <w:p>
      <w:pPr>
        <w:ind w:firstLine="561"/>
        <w:jc w:val="left"/>
        <w:spacing w:line="500" w:lineRule="exact"/>
        <w:widowControl/>
        <w:rPr>
          <w:rFonts w:ascii="宋体" w:hAnsi="宋体" w:cs="Calibri"/>
          <w:color w:val="000000" w:themeColor="text1"/>
          <w:sz w:val="28"/>
          <w:szCs w:val="28"/>
        </w:rPr>
      </w:pPr>
      <w:r/>
      <w:bookmarkStart w:id="64" w:name="_Toc426469869"/>
      <w:r/>
      <w:bookmarkStart w:id="65" w:name="_Toc479757206"/>
      <w:r/>
      <w:bookmarkStart w:id="66" w:name="_Toc382812472"/>
      <w:r/>
      <w:bookmarkStart w:id="67" w:name="_Toc382813885"/>
      <w:r/>
      <w:bookmarkStart w:id="68" w:name="_Toc20823272"/>
      <w:r/>
      <w:bookmarkStart w:id="69" w:name="_Toc16938516"/>
      <w:r/>
      <w:bookmarkStart w:id="70" w:name="_Toc513029200"/>
      <w:r/>
      <w:bookmarkStart w:id="71" w:name="_Toc523127445"/>
      <w:r/>
      <w:bookmarkStart w:id="72" w:name="_Toc382813966"/>
      <w:r>
        <w:rPr>
          <w:rFonts w:hint="eastAsia" w:ascii="宋体" w:hAnsi="宋体" w:cs="Calibri"/>
          <w:color w:val="000000" w:themeColor="text1"/>
          <w:sz w:val="28"/>
          <w:szCs w:val="28"/>
        </w:rPr>
        <w:t xml:space="preserve">1.招标人信息</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招标人：</w:t>
      </w:r>
      <w:r>
        <w:rPr>
          <w:rFonts w:hint="eastAsia" w:ascii="宋体" w:hAnsi="宋体" w:cs="Calibri"/>
          <w:color w:val="000000" w:themeColor="text1"/>
          <w:sz w:val="28"/>
          <w:szCs w:val="28"/>
          <w:u w:val="single"/>
        </w:rPr>
        <w:t xml:space="preserve">泰兴市农业技术推广中心</w:t>
      </w:r>
      <w:r/>
    </w:p>
    <w:p>
      <w:pPr>
        <w:pStyle w:val="902"/>
        <w:ind w:left="1580" w:hanging="980"/>
        <w:spacing w:before="0" w:after="0" w:line="460" w:lineRule="exact"/>
        <w:rPr>
          <w:rFonts w:hint="default"/>
          <w:color w:val="000000" w:themeColor="text1"/>
        </w:rPr>
      </w:pPr>
      <w:r>
        <w:rPr>
          <w:rFonts w:cs="Calibri"/>
          <w:color w:val="000000" w:themeColor="text1"/>
          <w:sz w:val="28"/>
          <w:szCs w:val="28"/>
        </w:rPr>
        <w:t xml:space="preserve">地 址：</w:t>
      </w:r>
      <w:r>
        <w:rPr>
          <w:rFonts w:cs="Calibri"/>
          <w:color w:val="000000" w:themeColor="text1"/>
          <w:sz w:val="28"/>
          <w:szCs w:val="28"/>
          <w:u w:val="single"/>
        </w:rPr>
        <w:t xml:space="preserve">泰兴市板桥路159号</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联系方式：</w:t>
      </w:r>
      <w:r>
        <w:rPr>
          <w:rFonts w:hint="eastAsia" w:ascii="宋体" w:hAnsi="宋体" w:cs="Calibri"/>
          <w:color w:val="000000" w:themeColor="text1"/>
          <w:sz w:val="28"/>
          <w:szCs w:val="28"/>
          <w:u w:val="single"/>
        </w:rPr>
        <w:t xml:space="preserve">0523-82060413</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2.采购代理机构信息</w:t>
      </w:r>
      <w:r/>
    </w:p>
    <w:p>
      <w:pPr>
        <w:pStyle w:val="902"/>
        <w:ind w:firstLine="561"/>
        <w:jc w:val="both"/>
        <w:spacing w:before="0" w:after="0" w:line="500" w:lineRule="exact"/>
        <w:rPr>
          <w:rFonts w:hint="default"/>
          <w:color w:val="000000" w:themeColor="text1"/>
          <w:sz w:val="28"/>
          <w:szCs w:val="28"/>
        </w:rPr>
      </w:pPr>
      <w:r>
        <w:rPr>
          <w:color w:val="000000" w:themeColor="text1"/>
          <w:sz w:val="28"/>
          <w:szCs w:val="28"/>
        </w:rPr>
        <w:t xml:space="preserve">名 称：</w:t>
      </w:r>
      <w:r>
        <w:rPr>
          <w:color w:val="000000" w:themeColor="text1"/>
          <w:sz w:val="28"/>
          <w:szCs w:val="28"/>
          <w:u w:val="single"/>
        </w:rPr>
        <w:t xml:space="preserve">江苏润泰工程项目管理咨询有限公司</w:t>
      </w:r>
      <w:r/>
    </w:p>
    <w:p>
      <w:pPr>
        <w:pStyle w:val="902"/>
        <w:ind w:firstLine="561"/>
        <w:jc w:val="both"/>
        <w:spacing w:before="0" w:after="0" w:line="500" w:lineRule="exact"/>
        <w:rPr>
          <w:rFonts w:hint="default"/>
          <w:color w:val="000000" w:themeColor="text1"/>
          <w:sz w:val="28"/>
          <w:szCs w:val="28"/>
        </w:rPr>
      </w:pPr>
      <w:r>
        <w:rPr>
          <w:color w:val="000000" w:themeColor="text1"/>
          <w:sz w:val="28"/>
          <w:szCs w:val="28"/>
        </w:rPr>
        <w:t xml:space="preserve">地　址：</w:t>
      </w:r>
      <w:r>
        <w:rPr>
          <w:color w:val="000000" w:themeColor="text1"/>
          <w:sz w:val="28"/>
          <w:szCs w:val="28"/>
          <w:u w:val="single"/>
        </w:rPr>
        <w:t xml:space="preserve">泰兴市科政路39号</w:t>
      </w:r>
      <w:r/>
    </w:p>
    <w:p>
      <w:pPr>
        <w:pStyle w:val="902"/>
        <w:ind w:firstLine="561"/>
        <w:jc w:val="both"/>
        <w:spacing w:before="0" w:after="0" w:line="500" w:lineRule="exact"/>
        <w:rPr>
          <w:rFonts w:hint="default"/>
          <w:color w:val="000000" w:themeColor="text1"/>
          <w:sz w:val="28"/>
          <w:szCs w:val="28"/>
        </w:rPr>
      </w:pPr>
      <w:r>
        <w:rPr>
          <w:color w:val="000000" w:themeColor="text1"/>
          <w:sz w:val="28"/>
          <w:szCs w:val="28"/>
        </w:rPr>
        <w:t xml:space="preserve">联系方式：</w:t>
      </w:r>
      <w:r>
        <w:rPr>
          <w:color w:val="000000" w:themeColor="text1"/>
          <w:sz w:val="28"/>
          <w:szCs w:val="28"/>
          <w:u w:val="single"/>
        </w:rPr>
        <w:t xml:space="preserve">0523-87723388</w:t>
      </w:r>
      <w:r/>
    </w:p>
    <w:p>
      <w:pPr>
        <w:ind w:firstLine="561"/>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4.项目联系方式</w:t>
      </w:r>
      <w:r/>
    </w:p>
    <w:p>
      <w:pPr>
        <w:pStyle w:val="902"/>
        <w:ind w:firstLine="561"/>
        <w:jc w:val="both"/>
        <w:spacing w:before="0" w:after="0" w:line="500" w:lineRule="exact"/>
        <w:rPr>
          <w:rFonts w:hint="default"/>
          <w:color w:val="000000" w:themeColor="text1"/>
          <w:sz w:val="28"/>
          <w:szCs w:val="28"/>
        </w:rPr>
      </w:pPr>
      <w:r>
        <w:rPr>
          <w:color w:val="000000" w:themeColor="text1"/>
          <w:sz w:val="28"/>
          <w:szCs w:val="28"/>
        </w:rPr>
        <w:t xml:space="preserve">项目联系人：</w:t>
      </w:r>
      <w:bookmarkStart w:id="73" w:name="OLE_LINK122"/>
      <w:r/>
      <w:bookmarkStart w:id="74" w:name="OLE_LINK121"/>
      <w:r/>
      <w:bookmarkStart w:id="75" w:name="OLE_LINK136"/>
      <w:r/>
      <w:bookmarkStart w:id="76" w:name="OLE_LINK135"/>
      <w:r>
        <w:rPr>
          <w:rFonts w:cs="Calibri"/>
          <w:color w:val="000000" w:themeColor="text1"/>
          <w:sz w:val="28"/>
          <w:szCs w:val="28"/>
          <w:u w:val="single"/>
        </w:rPr>
        <w:t xml:space="preserve">泰兴市农业技术推广中心  </w:t>
      </w:r>
      <w:bookmarkEnd w:id="73"/>
      <w:r/>
      <w:bookmarkEnd w:id="74"/>
      <w:r>
        <w:rPr>
          <w:rFonts w:cs="Calibri"/>
          <w:color w:val="000000" w:themeColor="text1"/>
          <w:sz w:val="28"/>
          <w:szCs w:val="28"/>
          <w:u w:val="single"/>
        </w:rPr>
        <w:t xml:space="preserve">殷先生</w:t>
      </w:r>
      <w:bookmarkEnd w:id="75"/>
      <w:r/>
      <w:bookmarkEnd w:id="76"/>
      <w:r/>
      <w:r/>
    </w:p>
    <w:p>
      <w:pPr>
        <w:pStyle w:val="902"/>
        <w:ind w:firstLine="561"/>
        <w:jc w:val="both"/>
        <w:spacing w:before="0" w:after="0" w:line="500" w:lineRule="exact"/>
        <w:rPr>
          <w:rFonts w:hint="default"/>
          <w:color w:val="000000" w:themeColor="text1"/>
          <w:sz w:val="28"/>
          <w:szCs w:val="28"/>
          <w:u w:val="single"/>
        </w:rPr>
      </w:pPr>
      <w:r>
        <w:rPr>
          <w:color w:val="000000" w:themeColor="text1"/>
          <w:sz w:val="28"/>
          <w:szCs w:val="28"/>
        </w:rPr>
        <w:t xml:space="preserve">电　话：</w:t>
      </w:r>
      <w:r>
        <w:rPr>
          <w:rFonts w:cs="Calibri"/>
          <w:color w:val="000000" w:themeColor="text1"/>
          <w:sz w:val="28"/>
          <w:szCs w:val="28"/>
          <w:u w:val="single"/>
        </w:rPr>
        <w:t xml:space="preserve">0523-82060413</w:t>
      </w:r>
      <w:r/>
    </w:p>
    <w:p>
      <w:pPr>
        <w:pStyle w:val="902"/>
        <w:ind w:firstLine="561"/>
        <w:jc w:val="both"/>
        <w:spacing w:before="0" w:after="0" w:line="500" w:lineRule="exact"/>
        <w:rPr>
          <w:rFonts w:hint="default"/>
          <w:sz w:val="28"/>
          <w:szCs w:val="28"/>
        </w:rPr>
      </w:pPr>
      <w:r>
        <w:rPr>
          <w:color w:val="000000" w:themeColor="text1"/>
          <w:sz w:val="28"/>
          <w:szCs w:val="28"/>
        </w:rPr>
        <w:t xml:space="preserve">项目联系人：</w:t>
      </w:r>
      <w:r>
        <w:rPr>
          <w:color w:val="000000" w:themeColor="text1"/>
          <w:sz w:val="28"/>
          <w:szCs w:val="28"/>
          <w:u w:val="single"/>
        </w:rPr>
        <w:t xml:space="preserve">江苏润泰工程项目管理咨</w:t>
      </w:r>
      <w:r>
        <w:rPr>
          <w:sz w:val="28"/>
          <w:szCs w:val="28"/>
          <w:u w:val="single"/>
        </w:rPr>
        <w:t xml:space="preserve">询有限公司  杨云  </w:t>
      </w:r>
      <w:bookmarkEnd w:id="12"/>
      <w:r>
        <w:rPr>
          <w:sz w:val="28"/>
          <w:szCs w:val="28"/>
          <w:u w:val="single"/>
        </w:rPr>
        <w:t xml:space="preserve">成洁</w:t>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w:t>
      </w:r>
      <w:r>
        <w:rPr>
          <w:rFonts w:hint="eastAsia" w:ascii="黑体" w:hAnsi="黑体" w:eastAsia="黑体"/>
          <w:b/>
          <w:sz w:val="32"/>
          <w:szCs w:val="32"/>
        </w:rPr>
        <w:t xml:space="preserve">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64"/>
      <w:r/>
      <w:r/>
    </w:p>
    <w:p>
      <w:pPr>
        <w:rPr>
          <w:sz w:val="28"/>
          <w:szCs w:val="28"/>
        </w:rPr>
      </w:pPr>
      <w:r/>
      <w:bookmarkStart w:id="77" w:name="_Toc426469870"/>
      <w:r>
        <w:rPr>
          <w:rFonts w:hint="eastAsia"/>
          <w:sz w:val="28"/>
          <w:szCs w:val="28"/>
        </w:rPr>
        <w:t xml:space="preserve">投标人须知前附表</w:t>
      </w:r>
      <w:bookmarkEnd w:id="77"/>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sz w:val="28"/>
                <w:szCs w:val="28"/>
              </w:rPr>
              <w:t xml:space="preserve">付款方式</w:t>
            </w:r>
            <w:r/>
          </w:p>
        </w:tc>
        <w:tc>
          <w:tcPr>
            <w:tcW w:w="5987" w:type="dxa"/>
            <w:vAlign w:val="center"/>
            <w:textDirection w:val="lrTb"/>
            <w:noWrap w:val="false"/>
          </w:tcPr>
          <w:p>
            <w:pPr>
              <w:pStyle w:val="902"/>
              <w:jc w:val="both"/>
              <w:spacing w:before="0" w:after="0" w:line="400" w:lineRule="exact"/>
              <w:rPr>
                <w:rFonts w:hint="default" w:hAnsi="Times New Roman"/>
                <w:color w:val="auto"/>
                <w:sz w:val="28"/>
                <w:szCs w:val="28"/>
              </w:rPr>
            </w:pPr>
            <w:r>
              <w:rPr>
                <w:rFonts w:hAnsi="Times New Roman"/>
                <w:color w:val="auto"/>
                <w:sz w:val="28"/>
                <w:szCs w:val="28"/>
              </w:rPr>
              <w:t xml:space="preserve">合同签订后支付合同价的30%，</w:t>
            </w:r>
            <w:r>
              <w:rPr>
                <w:rFonts w:hint="default" w:hAnsi="Times New Roman"/>
                <w:color w:val="auto"/>
                <w:sz w:val="28"/>
                <w:szCs w:val="28"/>
              </w:rPr>
              <w:t xml:space="preserve">验收合格</w:t>
            </w:r>
            <w:r>
              <w:rPr>
                <w:rFonts w:hAnsi="Times New Roman"/>
                <w:color w:val="auto"/>
                <w:sz w:val="28"/>
                <w:szCs w:val="28"/>
              </w:rPr>
              <w:t xml:space="preserve">交付使用</w:t>
            </w:r>
            <w:r>
              <w:rPr>
                <w:rFonts w:hint="default" w:hAnsi="Times New Roman"/>
                <w:color w:val="auto"/>
                <w:sz w:val="28"/>
                <w:szCs w:val="28"/>
              </w:rPr>
              <w:t xml:space="preserve">后</w:t>
            </w:r>
            <w:r>
              <w:rPr>
                <w:rFonts w:hAnsi="Times New Roman"/>
                <w:color w:val="auto"/>
                <w:sz w:val="28"/>
                <w:szCs w:val="28"/>
              </w:rPr>
              <w:t xml:space="preserve">付至合同价</w:t>
            </w:r>
            <w:r>
              <w:rPr>
                <w:rFonts w:hint="default" w:hAnsi="Times New Roman"/>
                <w:color w:val="auto"/>
                <w:sz w:val="28"/>
                <w:szCs w:val="28"/>
              </w:rPr>
              <w:t xml:space="preserve">的9</w:t>
            </w:r>
            <w:r>
              <w:rPr>
                <w:rFonts w:hAnsi="Times New Roman"/>
                <w:color w:val="auto"/>
                <w:sz w:val="28"/>
                <w:szCs w:val="28"/>
              </w:rPr>
              <w:t xml:space="preserve">0</w:t>
            </w:r>
            <w:r>
              <w:rPr>
                <w:rFonts w:hint="default" w:hAnsi="Times New Roman"/>
                <w:color w:val="auto"/>
                <w:sz w:val="28"/>
                <w:szCs w:val="28"/>
              </w:rPr>
              <w:t xml:space="preserve">%，余款</w:t>
            </w:r>
            <w:r>
              <w:rPr>
                <w:rFonts w:hAnsi="Times New Roman"/>
                <w:color w:val="auto"/>
                <w:sz w:val="28"/>
                <w:szCs w:val="28"/>
              </w:rPr>
              <w:t xml:space="preserve">三年</w:t>
            </w:r>
            <w:r>
              <w:rPr>
                <w:rFonts w:hint="default" w:hAnsi="Times New Roman"/>
                <w:color w:val="auto"/>
                <w:sz w:val="28"/>
                <w:szCs w:val="28"/>
              </w:rPr>
              <w:t xml:space="preserve">后付清（所有款项均不计利息）。</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sz w:val="28"/>
                <w:szCs w:val="28"/>
              </w:rPr>
              <w:t xml:space="preserve">详见</w:t>
            </w:r>
            <w:r>
              <w:rPr>
                <w:rFonts w:hint="eastAsia" w:ascii="宋体" w:hAnsi="宋体"/>
                <w:sz w:val="28"/>
                <w:szCs w:val="28"/>
              </w:rPr>
              <w:t xml:space="preserve">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sz w:val="28"/>
                <w:szCs w:val="28"/>
              </w:rPr>
              <w:t xml:space="preserve">详见</w:t>
            </w:r>
            <w:r>
              <w:rPr>
                <w:rFonts w:hint="eastAsia" w:ascii="宋体" w:hAnsi="宋体" w:cs="宋体"/>
                <w:sz w:val="28"/>
                <w:szCs w:val="28"/>
              </w:rPr>
              <w:t xml:space="preserve">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887"/>
              <w:spacing w:line="400" w:lineRule="exact"/>
              <w:rPr>
                <w:rFonts w:ascii="宋体" w:hAnsi="宋体"/>
                <w:sz w:val="28"/>
                <w:szCs w:val="28"/>
              </w:rPr>
            </w:pPr>
            <w:r/>
            <w:bookmarkStart w:id="78" w:name="FEfe800446baa24252acf6b14953dc4897"/>
            <w:r/>
            <w:bookmarkStart w:id="79" w:name="FBfe800446baa24252acf6b14953dc4897"/>
            <w:r/>
            <w:bookmarkEnd w:id="78"/>
            <w:r/>
            <w:bookmarkEnd w:id="79"/>
            <w:r>
              <w:rPr>
                <w:rFonts w:hint="eastAsia"/>
                <w:sz w:val="28"/>
                <w:szCs w:val="28"/>
              </w:rPr>
              <w:t xml:space="preserve">根据本项目评标办法自行考虑。</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80" w:name="EB35ced2e8f8364f63a510bf246ff979f0"/>
            <w:r/>
            <w:bookmarkEnd w:id="80"/>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sz w:val="28"/>
                <w:szCs w:val="28"/>
              </w:rPr>
            </w:pPr>
            <w:r>
              <w:rPr>
                <w:rFonts w:hint="eastAsia"/>
                <w:sz w:val="28"/>
                <w:szCs w:val="28"/>
              </w:rPr>
              <w:t xml:space="preserve">投标人要求澄清招标文件的截止时间</w:t>
            </w:r>
            <w:r/>
          </w:p>
        </w:tc>
        <w:tc>
          <w:tcPr>
            <w:tcW w:w="5987" w:type="dxa"/>
            <w:vAlign w:val="center"/>
            <w:textDirection w:val="lrTb"/>
            <w:noWrap w:val="false"/>
          </w:tcPr>
          <w:p>
            <w:pPr>
              <w:spacing w:line="440" w:lineRule="exact"/>
              <w:rPr>
                <w:sz w:val="28"/>
                <w:szCs w:val="28"/>
              </w:rPr>
            </w:pPr>
            <w:r>
              <w:rPr>
                <w:rFonts w:hint="eastAsia"/>
                <w:sz w:val="28"/>
                <w:szCs w:val="28"/>
              </w:rPr>
              <w:t xml:space="preserve">2026</w:t>
            </w:r>
            <w:r>
              <w:rPr>
                <w:rFonts w:hint="eastAsia"/>
                <w:sz w:val="28"/>
                <w:szCs w:val="28"/>
              </w:rPr>
              <w:t xml:space="preserve">年</w:t>
            </w:r>
            <w:r>
              <w:rPr>
                <w:sz w:val="28"/>
                <w:szCs w:val="28"/>
              </w:rPr>
              <w:t xml:space="preserve">4</w:t>
            </w:r>
            <w:r>
              <w:rPr>
                <w:rFonts w:hint="eastAsia"/>
                <w:sz w:val="28"/>
                <w:szCs w:val="28"/>
              </w:rPr>
              <w:t xml:space="preserve">月</w:t>
            </w:r>
            <w:r>
              <w:rPr>
                <w:sz w:val="28"/>
                <w:szCs w:val="28"/>
              </w:rPr>
              <w:t xml:space="preserve">7</w:t>
            </w:r>
            <w:r>
              <w:rPr>
                <w:rFonts w:hint="eastAsia"/>
                <w:sz w:val="28"/>
                <w:szCs w:val="28"/>
              </w:rPr>
              <w:t xml:space="preserve">日</w:t>
            </w:r>
            <w:r>
              <w:rPr>
                <w:rFonts w:hint="eastAsia"/>
                <w:sz w:val="28"/>
                <w:szCs w:val="28"/>
              </w:rPr>
              <w:t xml:space="preserve">17</w:t>
            </w:r>
            <w:r>
              <w:rPr>
                <w:rFonts w:hint="eastAsia"/>
                <w:sz w:val="28"/>
                <w:szCs w:val="28"/>
              </w:rPr>
              <w:t xml:space="preserve">时</w:t>
            </w:r>
            <w:r>
              <w:rPr>
                <w:rFonts w:hint="eastAsia"/>
                <w:sz w:val="28"/>
                <w:szCs w:val="28"/>
              </w:rPr>
              <w:t xml:space="preserve">30</w:t>
            </w:r>
            <w:r>
              <w:rPr>
                <w:rFonts w:hint="eastAsia"/>
                <w:sz w:val="28"/>
                <w:szCs w:val="28"/>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（3）中小企业声明函（如有）</w:t>
            </w:r>
            <w:r/>
          </w:p>
          <w:p>
            <w:pPr>
              <w:spacing w:line="400" w:lineRule="exact"/>
              <w:rPr>
                <w:rFonts w:ascii="宋体" w:hAnsi="宋体" w:cs="宋体"/>
                <w:sz w:val="28"/>
              </w:rPr>
            </w:pPr>
            <w:r>
              <w:rPr>
                <w:rFonts w:hint="eastAsia" w:ascii="宋体" w:hAnsi="宋体" w:cs="宋体"/>
                <w:sz w:val="28"/>
              </w:rPr>
              <w:t xml:space="preserve">（4）关于符合本国产品标准的声明函（如有）；</w:t>
            </w:r>
            <w:r/>
          </w:p>
          <w:p>
            <w:pPr>
              <w:spacing w:line="400" w:lineRule="exact"/>
              <w:rPr>
                <w:rFonts w:ascii="宋体" w:hAnsi="宋体" w:cs="宋体"/>
                <w:sz w:val="28"/>
              </w:rPr>
            </w:pPr>
            <w:r>
              <w:rPr>
                <w:rFonts w:hint="eastAsia" w:ascii="宋体" w:hAnsi="宋体" w:cs="宋体"/>
                <w:sz w:val="28"/>
              </w:rPr>
              <w:t xml:space="preserve">（5）投标报价明细表及分析说明；</w:t>
            </w:r>
            <w:r/>
          </w:p>
          <w:p>
            <w:pPr>
              <w:spacing w:line="400" w:lineRule="exact"/>
              <w:rPr>
                <w:rFonts w:ascii="宋体" w:hAnsi="宋体" w:cs="宋体"/>
                <w:sz w:val="28"/>
              </w:rPr>
            </w:pPr>
            <w:r>
              <w:rPr>
                <w:rFonts w:hint="eastAsia" w:ascii="宋体" w:hAnsi="宋体" w:cs="宋体"/>
                <w:sz w:val="28"/>
              </w:rPr>
              <w:t xml:space="preserve">（6）资格性审查和符合性评审文件；</w:t>
            </w:r>
            <w:r/>
          </w:p>
          <w:p>
            <w:pPr>
              <w:spacing w:line="400" w:lineRule="exact"/>
              <w:rPr>
                <w:rFonts w:ascii="宋体" w:hAnsi="宋体" w:cs="宋体"/>
                <w:sz w:val="28"/>
              </w:rPr>
            </w:pPr>
            <w:r>
              <w:rPr>
                <w:rFonts w:hint="eastAsia" w:ascii="宋体" w:hAnsi="宋体" w:cs="宋体"/>
                <w:sz w:val="28"/>
              </w:rPr>
              <w:t xml:space="preserve">（7）采购需求响应表；</w:t>
            </w:r>
            <w:r/>
          </w:p>
          <w:p>
            <w:pPr>
              <w:spacing w:line="400" w:lineRule="exact"/>
              <w:rPr>
                <w:rFonts w:ascii="宋体" w:hAnsi="宋体" w:cs="宋体"/>
                <w:sz w:val="28"/>
              </w:rPr>
            </w:pPr>
            <w:r>
              <w:rPr>
                <w:rFonts w:hint="eastAsia" w:ascii="宋体" w:hAnsi="宋体" w:cs="宋体"/>
                <w:sz w:val="28"/>
              </w:rPr>
              <w:t xml:space="preserve">（8）对照第三章评标办法，认为应列入投标文件的其他材料。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910"/>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电子投标文件壹份。中标人提供两份与电子投标文件完全一致的纸质投标文件。</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81" w:name="EB72e20e40757d438698d0d924b6237fcc"/>
            <w:r/>
            <w:bookmarkEnd w:id="81"/>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人（含）以上单数。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943"/>
              <w:ind w:left="0"/>
              <w:spacing w:line="360" w:lineRule="exact"/>
              <w:rPr>
                <w:rFonts w:ascii="宋体" w:hAnsi="宋体"/>
                <w:sz w:val="28"/>
                <w:szCs w:val="28"/>
              </w:rPr>
            </w:pPr>
            <w:r>
              <w:rPr>
                <w:rFonts w:hint="eastAsia" w:ascii="宋体" w:hAnsi="宋体"/>
                <w:sz w:val="28"/>
                <w:szCs w:val="28"/>
              </w:rPr>
              <w:t xml:space="preserve">（1）形式：中标单位需提供由金融机构、担保机构出具的保函。</w:t>
            </w:r>
            <w:r/>
          </w:p>
          <w:p>
            <w:pPr>
              <w:pStyle w:val="943"/>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921"/>
              <w:numPr>
                <w:ilvl w:val="0"/>
                <w:numId w:val="2"/>
              </w:numPr>
              <w:spacing w:line="380" w:lineRule="exact"/>
              <w:rPr>
                <w:rFonts w:ascii="宋体" w:hAnsi="宋体"/>
                <w:sz w:val="28"/>
                <w:szCs w:val="28"/>
              </w:rPr>
            </w:pPr>
            <w:r>
              <w:rPr>
                <w:rFonts w:hint="eastAsia" w:ascii="宋体" w:hAnsi="宋体"/>
                <w:sz w:val="28"/>
                <w:szCs w:val="28"/>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p>
            <w:pPr>
              <w:pStyle w:val="921"/>
              <w:numPr>
                <w:ilvl w:val="0"/>
                <w:numId w:val="2"/>
              </w:numPr>
              <w:spacing w:line="380" w:lineRule="exact"/>
              <w:rPr>
                <w:rFonts w:ascii="宋体" w:hAnsi="宋体"/>
                <w:sz w:val="28"/>
                <w:szCs w:val="28"/>
              </w:rPr>
            </w:pPr>
            <w:r>
              <w:rPr>
                <w:rFonts w:hint="eastAsia" w:ascii="宋体" w:hAnsi="宋体"/>
                <w:sz w:val="28"/>
                <w:szCs w:val="28"/>
              </w:rPr>
              <w:t xml:space="preserve">根据《国务院办公厅关于在政府采购中实施本国产品标准及相关政策的通知》（国办发[2025]34号）规定，对本国产品的报价给予20%的价格扣除，用扣除后的价格参与评审。投标人应当提供《</w:t>
            </w:r>
            <w:r>
              <w:rPr>
                <w:rFonts w:hint="eastAsia" w:ascii="宋体" w:hAnsi="宋体" w:cs="宋体"/>
                <w:sz w:val="28"/>
              </w:rPr>
              <w:t xml:space="preserve">关于符合本国产品标准的声明函</w:t>
            </w:r>
            <w:r>
              <w:rPr>
                <w:rFonts w:hint="eastAsia" w:ascii="宋体" w:hAnsi="宋体"/>
                <w:sz w:val="28"/>
                <w:szCs w:val="28"/>
              </w:rPr>
              <w:t xml:space="preserve">》（格式见附件）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82" w:name="_Toc426469871"/>
            <w:r/>
            <w:bookmarkStart w:id="83" w:name="_Toc367784995"/>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害虫性诱智能测报仪</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9.7.1 </w:t>
            </w:r>
            <w:r/>
          </w:p>
        </w:tc>
        <w:tc>
          <w:tcPr>
            <w:gridSpan w:val="3"/>
            <w:tcW w:w="8539" w:type="dxa"/>
            <w:textDirection w:val="lrTb"/>
            <w:noWrap w:val="false"/>
          </w:tcPr>
          <w:p>
            <w:pPr>
              <w:jc w:val="left"/>
              <w:spacing w:line="360" w:lineRule="exact"/>
              <w:rPr>
                <w:rFonts w:ascii="宋体" w:hAnsi="宋体"/>
                <w:sz w:val="28"/>
                <w:szCs w:val="28"/>
              </w:rPr>
            </w:pPr>
            <w:r/>
            <w:bookmarkStart w:id="84" w:name="OLE_LINK111"/>
            <w:r/>
            <w:bookmarkStart w:id="85" w:name="OLE_LINK110"/>
            <w:r/>
            <w:bookmarkStart w:id="86" w:name="OLE_LINK115"/>
            <w:r/>
            <w:bookmarkStart w:id="87" w:name="OLE_LINK125"/>
            <w:r/>
            <w:bookmarkStart w:id="88" w:name="OLE_LINK109"/>
            <w:r/>
            <w:bookmarkStart w:id="89" w:name="OLE_LINK100"/>
            <w:r>
              <w:rPr>
                <w:rFonts w:hint="eastAsia" w:ascii="宋体" w:hAnsi="宋体"/>
                <w:sz w:val="28"/>
                <w:szCs w:val="28"/>
              </w:rPr>
              <w:t xml:space="preserve">本项目招标代理服务费按照苏政采协[2024]20号文件规定的80%计算</w:t>
            </w:r>
            <w:bookmarkEnd w:id="84"/>
            <w:r/>
            <w:bookmarkEnd w:id="85"/>
            <w:r/>
            <w:bookmarkEnd w:id="86"/>
            <w:r>
              <w:rPr>
                <w:rFonts w:hint="eastAsia" w:ascii="宋体" w:hAnsi="宋体"/>
                <w:sz w:val="28"/>
                <w:szCs w:val="28"/>
              </w:rPr>
              <w:t xml:space="preserve">，由中标人在领取中标通知书前支付给招标代理机构，招标人不另外支付。</w:t>
            </w:r>
            <w:bookmarkEnd w:id="87"/>
            <w:r/>
            <w:bookmarkEnd w:id="88"/>
            <w:r/>
            <w:bookmarkEnd w:id="89"/>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9.7.2</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评标办法中要求上传的视频文件大小须满足开评标系统的要求。单个视频附件压缩包大小不得超过50M，整体附件压缩包不得超过300M，压缩包文件格式为zip格式。建议提前测试或咨询软件公司。</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9.7.3</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中标人须在领取中标通知书后10天内提交以下设备的原厂质保函：5G智能无人巡田眼、农业遥感无人机（含机巢）、智能虫情测报灯、害虫性诱智能测报仪。若未按要求提供，招标人有权取消其中标资格，按中标候选人的顺序重新确定中标人或重新组织招投标。</w:t>
            </w:r>
            <w:r/>
          </w:p>
        </w:tc>
      </w:tr>
    </w:tbl>
    <w:p>
      <w:pPr>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82"/>
      <w:r/>
      <w:bookmarkEnd w:id="83"/>
      <w:r/>
      <w:r/>
    </w:p>
    <w:p>
      <w:pPr>
        <w:spacing w:line="520" w:lineRule="exact"/>
        <w:rPr>
          <w:rFonts w:ascii="楷体" w:hAnsi="楷体" w:eastAsia="楷体"/>
          <w:b/>
          <w:sz w:val="28"/>
          <w:szCs w:val="28"/>
        </w:rPr>
      </w:pPr>
      <w:r/>
      <w:bookmarkStart w:id="90" w:name="_Toc247085690"/>
      <w:r/>
      <w:bookmarkStart w:id="91" w:name="_Toc343525506"/>
      <w:r/>
      <w:bookmarkStart w:id="92" w:name="_Toc246996176"/>
      <w:r/>
      <w:bookmarkStart w:id="93" w:name="_Toc383438593"/>
      <w:r/>
      <w:bookmarkStart w:id="94" w:name="_Toc426469872"/>
      <w:r/>
      <w:bookmarkStart w:id="95" w:name="_Toc152045530"/>
      <w:r/>
      <w:bookmarkStart w:id="96" w:name="_Toc152042306"/>
      <w:r/>
      <w:bookmarkStart w:id="97" w:name="_Toc179632547"/>
      <w:r/>
      <w:bookmarkStart w:id="98" w:name="_Toc144974498"/>
      <w:r/>
      <w:bookmarkStart w:id="99" w:name="_Toc246996919"/>
      <w:r/>
      <w:bookmarkStart w:id="100"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90"/>
      <w:r/>
      <w:bookmarkEnd w:id="91"/>
      <w:r/>
      <w:bookmarkEnd w:id="92"/>
      <w:r/>
      <w:bookmarkEnd w:id="93"/>
      <w:r/>
      <w:bookmarkEnd w:id="94"/>
      <w:r/>
      <w:bookmarkEnd w:id="95"/>
      <w:r/>
      <w:bookmarkEnd w:id="96"/>
      <w:r/>
      <w:bookmarkEnd w:id="97"/>
      <w:r/>
      <w:bookmarkEnd w:id="98"/>
      <w:r/>
      <w:bookmarkEnd w:id="99"/>
      <w:r/>
      <w:r/>
    </w:p>
    <w:p>
      <w:pPr>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520" w:lineRule="exact"/>
        <w:rPr>
          <w:rFonts w:ascii="楷体" w:hAnsi="楷体" w:eastAsia="楷体"/>
          <w:b/>
          <w:sz w:val="28"/>
          <w:szCs w:val="28"/>
        </w:rPr>
      </w:pPr>
      <w:r/>
      <w:bookmarkStart w:id="101" w:name="_Toc144974499"/>
      <w:r/>
      <w:bookmarkStart w:id="102" w:name="_Toc426469873"/>
      <w:r/>
      <w:bookmarkStart w:id="103" w:name="_Toc383438594"/>
      <w:r/>
      <w:bookmarkStart w:id="104" w:name="_Toc343525507"/>
      <w:r/>
      <w:bookmarkStart w:id="105" w:name="_Toc152045531"/>
      <w:r/>
      <w:bookmarkStart w:id="106" w:name="_Toc247085691"/>
      <w:r/>
      <w:bookmarkStart w:id="107" w:name="_Toc246996177"/>
      <w:r/>
      <w:bookmarkStart w:id="108" w:name="_Toc152042307"/>
      <w:r/>
      <w:bookmarkStart w:id="109" w:name="_Toc246996920"/>
      <w:r/>
      <w:bookmarkStart w:id="110" w:name="_Toc179632548"/>
      <w:r>
        <w:rPr>
          <w:rFonts w:ascii="楷体" w:hAnsi="楷体" w:eastAsia="楷体"/>
          <w:b/>
          <w:sz w:val="28"/>
          <w:szCs w:val="28"/>
        </w:rPr>
        <w:t xml:space="preserve">1.2</w:t>
      </w:r>
      <w:bookmarkEnd w:id="101"/>
      <w:r/>
      <w:bookmarkEnd w:id="102"/>
      <w:r/>
      <w:bookmarkEnd w:id="103"/>
      <w:r/>
      <w:bookmarkEnd w:id="104"/>
      <w:r/>
      <w:bookmarkEnd w:id="105"/>
      <w:r/>
      <w:bookmarkEnd w:id="106"/>
      <w:r/>
      <w:bookmarkEnd w:id="107"/>
      <w:r/>
      <w:bookmarkEnd w:id="108"/>
      <w:r/>
      <w:bookmarkEnd w:id="109"/>
      <w:r/>
      <w:bookmarkEnd w:id="110"/>
      <w:r>
        <w:rPr>
          <w:rFonts w:hint="eastAsia" w:ascii="楷体" w:hAnsi="楷体" w:eastAsia="楷体"/>
          <w:b/>
          <w:sz w:val="28"/>
          <w:szCs w:val="28"/>
        </w:rPr>
        <w:t xml:space="preserve">付款方式</w:t>
      </w:r>
      <w:r/>
    </w:p>
    <w:p>
      <w:pPr>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520" w:lineRule="exact"/>
        <w:rPr>
          <w:rFonts w:ascii="楷体" w:hAnsi="楷体" w:eastAsia="楷体"/>
          <w:b/>
          <w:sz w:val="28"/>
          <w:szCs w:val="28"/>
        </w:rPr>
      </w:pPr>
      <w:r/>
      <w:bookmarkStart w:id="111" w:name="_Toc343525508"/>
      <w:r/>
      <w:bookmarkStart w:id="112" w:name="_Toc179632549"/>
      <w:r/>
      <w:bookmarkStart w:id="113" w:name="_Toc246996178"/>
      <w:r/>
      <w:bookmarkStart w:id="114" w:name="_Toc246996921"/>
      <w:r/>
      <w:bookmarkStart w:id="115" w:name="_Toc152042308"/>
      <w:r/>
      <w:bookmarkStart w:id="116" w:name="_Toc152045532"/>
      <w:r/>
      <w:bookmarkStart w:id="117" w:name="_Toc144974500"/>
      <w:r/>
      <w:bookmarkStart w:id="118" w:name="_Toc247085692"/>
      <w:r/>
      <w:bookmarkStart w:id="119" w:name="_Toc383438595"/>
      <w:r/>
      <w:bookmarkStart w:id="120" w:name="_Toc426469874"/>
      <w:r>
        <w:rPr>
          <w:rFonts w:ascii="楷体" w:hAnsi="楷体" w:eastAsia="楷体"/>
          <w:b/>
          <w:sz w:val="28"/>
          <w:szCs w:val="28"/>
        </w:rPr>
        <w:t xml:space="preserve">1.3 </w:t>
      </w:r>
      <w:bookmarkEnd w:id="111"/>
      <w:r/>
      <w:bookmarkEnd w:id="112"/>
      <w:r/>
      <w:bookmarkEnd w:id="113"/>
      <w:r/>
      <w:bookmarkEnd w:id="114"/>
      <w:r/>
      <w:bookmarkEnd w:id="115"/>
      <w:r/>
      <w:bookmarkEnd w:id="116"/>
      <w:r/>
      <w:bookmarkEnd w:id="117"/>
      <w:r/>
      <w:bookmarkEnd w:id="118"/>
      <w:r/>
      <w:bookmarkEnd w:id="119"/>
      <w:r>
        <w:rPr>
          <w:rFonts w:hint="eastAsia" w:ascii="楷体" w:hAnsi="楷体" w:eastAsia="楷体"/>
          <w:b/>
          <w:sz w:val="28"/>
          <w:szCs w:val="28"/>
        </w:rPr>
        <w:t xml:space="preserve">采购范围</w:t>
      </w:r>
      <w:bookmarkEnd w:id="120"/>
      <w:r>
        <w:rPr>
          <w:rFonts w:hint="eastAsia" w:ascii="楷体" w:hAnsi="楷体" w:eastAsia="楷体"/>
          <w:b/>
          <w:sz w:val="28"/>
          <w:szCs w:val="28"/>
        </w:rPr>
        <w:t xml:space="preserve">与合同履行期限</w:t>
      </w:r>
      <w:r/>
    </w:p>
    <w:p>
      <w:pPr>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520" w:lineRule="exact"/>
        <w:rPr>
          <w:rFonts w:ascii="楷体" w:hAnsi="楷体" w:eastAsia="楷体"/>
          <w:b/>
          <w:sz w:val="28"/>
          <w:szCs w:val="28"/>
        </w:rPr>
      </w:pPr>
      <w:r/>
      <w:bookmarkStart w:id="121" w:name="_Toc383438596"/>
      <w:r/>
      <w:bookmarkStart w:id="122" w:name="_Toc247085693"/>
      <w:r/>
      <w:bookmarkStart w:id="123" w:name="_Toc343525509"/>
      <w:r/>
      <w:bookmarkStart w:id="124" w:name="_Toc152045534"/>
      <w:r/>
      <w:bookmarkStart w:id="125" w:name="_Toc152042310"/>
      <w:r/>
      <w:bookmarkStart w:id="126" w:name="_Toc144974502"/>
      <w:r/>
      <w:bookmarkStart w:id="127" w:name="_Toc426469875"/>
      <w:r/>
      <w:bookmarkStart w:id="128" w:name="_Toc246996179"/>
      <w:r/>
      <w:bookmarkStart w:id="129" w:name="_Toc246996922"/>
      <w:r/>
      <w:bookmarkStart w:id="130" w:name="_Toc179632551"/>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21"/>
      <w:r/>
      <w:bookmarkEnd w:id="122"/>
      <w:r/>
      <w:bookmarkEnd w:id="123"/>
      <w:r/>
      <w:bookmarkEnd w:id="124"/>
      <w:r/>
      <w:bookmarkEnd w:id="125"/>
      <w:r/>
      <w:bookmarkEnd w:id="126"/>
      <w:r/>
      <w:bookmarkEnd w:id="127"/>
      <w:r/>
      <w:bookmarkEnd w:id="128"/>
      <w:r/>
      <w:bookmarkEnd w:id="129"/>
      <w:r/>
      <w:bookmarkEnd w:id="130"/>
      <w:r/>
      <w:r/>
    </w:p>
    <w:p>
      <w:pPr>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）参加政府采购活动前三年内，在经营活动中没有重大违法记录，无贿赂工作人员等违法记录；</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520" w:lineRule="exact"/>
        <w:rPr>
          <w:rFonts w:ascii="宋体" w:hAnsi="宋体" w:cs="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w:t>
      </w:r>
      <w:r/>
    </w:p>
    <w:p>
      <w:pPr>
        <w:spacing w:line="520" w:lineRule="exact"/>
        <w:rPr>
          <w:rFonts w:ascii="宋体"/>
          <w:sz w:val="28"/>
          <w:szCs w:val="28"/>
        </w:rPr>
      </w:pPr>
      <w:r>
        <w:rPr>
          <w:rFonts w:hint="eastAsia" w:ascii="宋体" w:hAnsi="宋体" w:cs="宋体"/>
          <w:sz w:val="28"/>
          <w:szCs w:val="28"/>
        </w:rPr>
        <w:t xml:space="preserve">标人须知前附表。</w:t>
      </w:r>
      <w:r/>
    </w:p>
    <w:p>
      <w:pPr>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bookmarkStart w:id="131" w:name="_Toc179632552"/>
      <w:r/>
      <w:bookmarkStart w:id="132" w:name="_Toc152042311"/>
      <w:r/>
      <w:bookmarkStart w:id="133" w:name="_Toc246996180"/>
      <w:r/>
      <w:bookmarkStart w:id="134" w:name="_Toc152045535"/>
      <w:r/>
      <w:bookmarkStart w:id="135" w:name="_Toc144974503"/>
      <w:r/>
      <w:bookmarkStart w:id="136" w:name="_Toc246996923"/>
      <w:r/>
      <w:bookmarkStart w:id="137" w:name="_Toc247085694"/>
      <w:r/>
      <w:bookmarkStart w:id="138" w:name="_Toc426469876"/>
      <w:r/>
      <w:bookmarkStart w:id="139" w:name="_Toc343525510"/>
      <w:r/>
      <w:bookmarkStart w:id="140" w:name="_Toc383438597"/>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31"/>
      <w:r/>
      <w:bookmarkEnd w:id="132"/>
      <w:r/>
      <w:bookmarkEnd w:id="133"/>
      <w:r/>
      <w:bookmarkEnd w:id="134"/>
      <w:r/>
      <w:bookmarkEnd w:id="135"/>
      <w:r/>
      <w:bookmarkEnd w:id="136"/>
      <w:r/>
      <w:bookmarkEnd w:id="137"/>
      <w:r/>
      <w:bookmarkEnd w:id="138"/>
      <w:r/>
      <w:bookmarkEnd w:id="139"/>
      <w:r/>
      <w:bookmarkEnd w:id="140"/>
      <w:r/>
      <w:r/>
    </w:p>
    <w:p>
      <w:pPr>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520" w:lineRule="exact"/>
        <w:rPr>
          <w:rFonts w:ascii="楷体" w:hAnsi="楷体" w:eastAsia="楷体"/>
          <w:b/>
          <w:sz w:val="28"/>
          <w:szCs w:val="28"/>
        </w:rPr>
      </w:pPr>
      <w:r/>
      <w:bookmarkStart w:id="141" w:name="_Toc144974505"/>
      <w:r/>
      <w:bookmarkStart w:id="142" w:name="_Toc426469878"/>
      <w:r/>
      <w:bookmarkStart w:id="143" w:name="_Toc246996925"/>
      <w:r/>
      <w:bookmarkStart w:id="144" w:name="_Toc246996182"/>
      <w:r/>
      <w:bookmarkStart w:id="145" w:name="_Toc247085696"/>
      <w:r/>
      <w:bookmarkStart w:id="146" w:name="_Toc179632554"/>
      <w:r/>
      <w:bookmarkStart w:id="147" w:name="_Toc152042313"/>
      <w:r/>
      <w:bookmarkStart w:id="148" w:name="_Toc383438599"/>
      <w:r/>
      <w:bookmarkStart w:id="149" w:name="_Toc343525512"/>
      <w:r/>
      <w:bookmarkStart w:id="150" w:name="_Toc152045537"/>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41"/>
      <w:r>
        <w:rPr>
          <w:rFonts w:hint="eastAsia" w:ascii="楷体" w:hAnsi="楷体" w:eastAsia="楷体" w:cs="宋体"/>
          <w:b/>
          <w:sz w:val="28"/>
          <w:szCs w:val="28"/>
        </w:rPr>
        <w:t xml:space="preserve">文字</w:t>
      </w:r>
      <w:bookmarkEnd w:id="142"/>
      <w:r/>
      <w:bookmarkEnd w:id="143"/>
      <w:r/>
      <w:bookmarkEnd w:id="144"/>
      <w:r/>
      <w:bookmarkEnd w:id="145"/>
      <w:r/>
      <w:bookmarkEnd w:id="146"/>
      <w:r/>
      <w:bookmarkEnd w:id="147"/>
      <w:r/>
      <w:bookmarkEnd w:id="148"/>
      <w:r/>
      <w:bookmarkEnd w:id="149"/>
      <w:r/>
      <w:bookmarkEnd w:id="150"/>
      <w:r/>
      <w:r/>
    </w:p>
    <w:p>
      <w:pPr>
        <w:ind w:firstLine="560"/>
        <w:spacing w:line="520" w:lineRule="exact"/>
        <w:rPr>
          <w:rFonts w:ascii="宋体"/>
          <w:sz w:val="28"/>
          <w:szCs w:val="28"/>
        </w:rPr>
      </w:pPr>
      <w:r/>
      <w:bookmarkStart w:id="151" w:name="_Toc246996926"/>
      <w:r/>
      <w:bookmarkStart w:id="152" w:name="_Toc247085697"/>
      <w:r/>
      <w:bookmarkStart w:id="153" w:name="_Toc152042314"/>
      <w:r/>
      <w:bookmarkStart w:id="154" w:name="_Toc152045538"/>
      <w:r/>
      <w:bookmarkStart w:id="155" w:name="_Toc179632555"/>
      <w:r/>
      <w:bookmarkStart w:id="156" w:name="_Toc144974506"/>
      <w:r/>
      <w:bookmarkStart w:id="157" w:name="_Toc246996183"/>
      <w:r>
        <w:rPr>
          <w:rFonts w:hint="eastAsia" w:ascii="宋体" w:hAnsi="宋体" w:cs="宋体"/>
          <w:sz w:val="28"/>
          <w:szCs w:val="28"/>
        </w:rPr>
        <w:t xml:space="preserve">招投标文件使用的语言文字为中文。专用术语使用外文的，应附有中文注释。</w:t>
      </w:r>
      <w:r/>
    </w:p>
    <w:p>
      <w:pPr>
        <w:spacing w:line="520" w:lineRule="exact"/>
        <w:rPr>
          <w:rFonts w:ascii="楷体" w:hAnsi="楷体" w:eastAsia="楷体"/>
          <w:b/>
          <w:sz w:val="28"/>
          <w:szCs w:val="28"/>
        </w:rPr>
      </w:pPr>
      <w:r/>
      <w:bookmarkStart w:id="158" w:name="_Toc383438600"/>
      <w:r/>
      <w:bookmarkStart w:id="159" w:name="_Toc426469879"/>
      <w:r/>
      <w:bookmarkStart w:id="160"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51"/>
      <w:r/>
      <w:bookmarkEnd w:id="152"/>
      <w:r/>
      <w:bookmarkEnd w:id="153"/>
      <w:r/>
      <w:bookmarkEnd w:id="154"/>
      <w:r/>
      <w:bookmarkEnd w:id="155"/>
      <w:r/>
      <w:bookmarkEnd w:id="156"/>
      <w:r/>
      <w:bookmarkEnd w:id="157"/>
      <w:r/>
      <w:bookmarkEnd w:id="158"/>
      <w:r/>
      <w:bookmarkEnd w:id="159"/>
      <w:r/>
      <w:bookmarkEnd w:id="160"/>
      <w:r/>
      <w:r/>
    </w:p>
    <w:p>
      <w:pPr>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520" w:lineRule="exact"/>
        <w:rPr>
          <w:rFonts w:ascii="楷体" w:hAnsi="楷体" w:eastAsia="楷体"/>
          <w:b/>
          <w:sz w:val="28"/>
          <w:szCs w:val="28"/>
        </w:rPr>
      </w:pPr>
      <w:r/>
      <w:bookmarkStart w:id="161"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61"/>
      <w:r/>
      <w:r/>
    </w:p>
    <w:p>
      <w:pPr>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w:t>
      </w:r>
      <w:r>
        <w:rPr>
          <w:rFonts w:hint="eastAsia" w:ascii="宋体" w:hAnsi="宋体" w:cs="宋体"/>
          <w:sz w:val="28"/>
          <w:szCs w:val="28"/>
        </w:rPr>
        <w:t xml:space="preserve">服务要求的为正偏离，反之为负偏离。</w:t>
      </w:r>
      <w:r/>
    </w:p>
    <w:p>
      <w:pPr>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520" w:lineRule="exact"/>
        <w:rPr>
          <w:rFonts w:ascii="黑体" w:hAnsi="黑体" w:eastAsia="黑体"/>
          <w:sz w:val="32"/>
          <w:szCs w:val="32"/>
        </w:rPr>
      </w:pPr>
      <w:r/>
      <w:bookmarkStart w:id="162" w:name="_Toc383438604"/>
      <w:r/>
      <w:bookmarkStart w:id="163" w:name="_Toc343525517"/>
      <w:r/>
      <w:bookmarkStart w:id="164"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62"/>
      <w:r/>
      <w:bookmarkEnd w:id="163"/>
      <w:r/>
      <w:bookmarkEnd w:id="164"/>
      <w:r/>
      <w:r/>
    </w:p>
    <w:p>
      <w:pPr>
        <w:spacing w:line="520" w:lineRule="exact"/>
        <w:rPr>
          <w:rFonts w:ascii="楷体" w:hAnsi="楷体" w:eastAsia="楷体"/>
          <w:b/>
          <w:sz w:val="28"/>
          <w:szCs w:val="28"/>
        </w:rPr>
      </w:pPr>
      <w:r/>
      <w:bookmarkStart w:id="165" w:name="_Toc343525518"/>
      <w:r/>
      <w:bookmarkStart w:id="166" w:name="_Toc144974511"/>
      <w:r/>
      <w:bookmarkStart w:id="167" w:name="_Toc246996188"/>
      <w:r/>
      <w:bookmarkStart w:id="168" w:name="_Toc383438605"/>
      <w:r/>
      <w:bookmarkStart w:id="169" w:name="_Toc179632561"/>
      <w:r/>
      <w:bookmarkStart w:id="170" w:name="_Toc152042319"/>
      <w:r/>
      <w:bookmarkStart w:id="171" w:name="_Toc246996931"/>
      <w:r/>
      <w:bookmarkStart w:id="172" w:name="_Toc426469883"/>
      <w:r/>
      <w:bookmarkStart w:id="173" w:name="_Toc152045543"/>
      <w:r/>
      <w:bookmarkStart w:id="174"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65"/>
      <w:r/>
      <w:bookmarkEnd w:id="166"/>
      <w:r/>
      <w:bookmarkEnd w:id="167"/>
      <w:r/>
      <w:bookmarkEnd w:id="168"/>
      <w:r/>
      <w:bookmarkEnd w:id="169"/>
      <w:r/>
      <w:bookmarkEnd w:id="170"/>
      <w:r/>
      <w:bookmarkEnd w:id="171"/>
      <w:r/>
      <w:bookmarkEnd w:id="172"/>
      <w:r/>
      <w:bookmarkEnd w:id="173"/>
      <w:r/>
      <w:bookmarkEnd w:id="174"/>
      <w:r/>
      <w:r/>
    </w:p>
    <w:p>
      <w:pPr>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520" w:lineRule="exact"/>
        <w:rPr>
          <w:rFonts w:ascii="楷体" w:hAnsi="楷体" w:eastAsia="楷体"/>
          <w:b/>
          <w:sz w:val="28"/>
          <w:szCs w:val="28"/>
        </w:rPr>
      </w:pPr>
      <w:r/>
      <w:bookmarkStart w:id="175" w:name="_Toc426469884"/>
      <w:r/>
      <w:bookmarkStart w:id="176" w:name="_Toc152042320"/>
      <w:r/>
      <w:bookmarkStart w:id="177" w:name="_Toc246996189"/>
      <w:r/>
      <w:bookmarkStart w:id="178" w:name="_Toc246996932"/>
      <w:r/>
      <w:bookmarkStart w:id="179" w:name="_Toc343525519"/>
      <w:r/>
      <w:bookmarkStart w:id="180" w:name="_Toc144974512"/>
      <w:r/>
      <w:bookmarkStart w:id="181" w:name="_Toc179632562"/>
      <w:r/>
      <w:bookmarkStart w:id="182" w:name="_Toc247085703"/>
      <w:r/>
      <w:bookmarkStart w:id="183" w:name="_Toc383438606"/>
      <w:r/>
      <w:bookmarkStart w:id="184" w:name="_Toc152045544"/>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75"/>
      <w:r/>
      <w:bookmarkEnd w:id="176"/>
      <w:r/>
      <w:bookmarkEnd w:id="177"/>
      <w:r/>
      <w:bookmarkEnd w:id="178"/>
      <w:r/>
      <w:bookmarkEnd w:id="179"/>
      <w:r/>
      <w:bookmarkEnd w:id="180"/>
      <w:r/>
      <w:bookmarkEnd w:id="181"/>
      <w:r/>
      <w:bookmarkEnd w:id="182"/>
      <w:r/>
      <w:bookmarkEnd w:id="183"/>
      <w:r/>
      <w:bookmarkEnd w:id="184"/>
      <w:r/>
      <w:r/>
    </w:p>
    <w:p>
      <w:pPr>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520" w:lineRule="exact"/>
        <w:rPr>
          <w:rFonts w:ascii="楷体" w:hAnsi="楷体" w:eastAsia="楷体"/>
          <w:b/>
          <w:sz w:val="28"/>
          <w:szCs w:val="28"/>
        </w:rPr>
      </w:pPr>
      <w:r/>
      <w:bookmarkStart w:id="185" w:name="_Toc144974513"/>
      <w:r/>
      <w:bookmarkStart w:id="186" w:name="_Toc343525520"/>
      <w:r/>
      <w:bookmarkStart w:id="187" w:name="_Toc246996933"/>
      <w:r/>
      <w:bookmarkStart w:id="188" w:name="_Toc246996190"/>
      <w:r/>
      <w:bookmarkStart w:id="189" w:name="_Toc426469885"/>
      <w:r/>
      <w:bookmarkStart w:id="190" w:name="_Toc383438607"/>
      <w:r/>
      <w:bookmarkStart w:id="191" w:name="_Toc152042321"/>
      <w:r/>
      <w:bookmarkStart w:id="192" w:name="_Toc152045545"/>
      <w:r/>
      <w:bookmarkStart w:id="193" w:name="_Toc179632563"/>
      <w:r/>
      <w:bookmarkStart w:id="194" w:name="_Toc247085704"/>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85"/>
      <w:r/>
      <w:bookmarkEnd w:id="186"/>
      <w:r/>
      <w:bookmarkEnd w:id="187"/>
      <w:r/>
      <w:bookmarkEnd w:id="188"/>
      <w:r/>
      <w:bookmarkEnd w:id="189"/>
      <w:r/>
      <w:bookmarkEnd w:id="190"/>
      <w:r/>
      <w:bookmarkEnd w:id="191"/>
      <w:r/>
      <w:bookmarkEnd w:id="192"/>
      <w:r/>
      <w:bookmarkEnd w:id="193"/>
      <w:r/>
      <w:bookmarkEnd w:id="194"/>
      <w:r/>
      <w:r/>
    </w:p>
    <w:p>
      <w:pPr>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w:t>
      </w:r>
      <w:r>
        <w:rPr>
          <w:rFonts w:hint="eastAsia" w:ascii="宋体" w:hAnsi="宋体" w:cs="宋体"/>
          <w:sz w:val="28"/>
          <w:szCs w:val="28"/>
        </w:rPr>
        <w:t xml:space="preserve">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520" w:lineRule="exact"/>
        <w:rPr>
          <w:rFonts w:ascii="黑体" w:hAnsi="黑体" w:eastAsia="黑体"/>
          <w:b/>
          <w:sz w:val="32"/>
          <w:szCs w:val="32"/>
        </w:rPr>
      </w:pPr>
      <w:r/>
      <w:bookmarkStart w:id="195" w:name="_Toc343525522"/>
      <w:r/>
      <w:bookmarkStart w:id="196" w:name="_Toc247085705"/>
      <w:r/>
      <w:bookmarkStart w:id="197" w:name="_Toc246996191"/>
      <w:r/>
      <w:bookmarkStart w:id="198" w:name="_Toc179632564"/>
      <w:r/>
      <w:bookmarkStart w:id="199" w:name="_Toc152045546"/>
      <w:r/>
      <w:bookmarkStart w:id="200" w:name="_Toc383438609"/>
      <w:r/>
      <w:bookmarkStart w:id="201" w:name="_Toc246996934"/>
      <w:r/>
      <w:bookmarkStart w:id="202" w:name="_Toc144974514"/>
      <w:r/>
      <w:bookmarkStart w:id="203" w:name="_Toc152042322"/>
      <w:r/>
      <w:bookmarkStart w:id="204"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95"/>
      <w:r/>
      <w:bookmarkEnd w:id="196"/>
      <w:r/>
      <w:bookmarkEnd w:id="197"/>
      <w:r/>
      <w:bookmarkEnd w:id="198"/>
      <w:r/>
      <w:bookmarkEnd w:id="199"/>
      <w:r/>
      <w:bookmarkEnd w:id="200"/>
      <w:r/>
      <w:bookmarkEnd w:id="201"/>
      <w:r/>
      <w:bookmarkEnd w:id="202"/>
      <w:r/>
      <w:bookmarkEnd w:id="203"/>
      <w:r>
        <w:rPr>
          <w:rFonts w:hint="eastAsia" w:ascii="黑体" w:hAnsi="黑体" w:eastAsia="黑体" w:cs="宋体"/>
          <w:b/>
          <w:sz w:val="32"/>
          <w:szCs w:val="32"/>
        </w:rPr>
        <w:t xml:space="preserve">文件</w:t>
      </w:r>
      <w:bookmarkEnd w:id="204"/>
      <w:r/>
      <w:r/>
    </w:p>
    <w:p>
      <w:pPr>
        <w:spacing w:line="520" w:lineRule="exact"/>
        <w:rPr>
          <w:rFonts w:ascii="楷体" w:hAnsi="楷体" w:eastAsia="楷体" w:cs="宋体"/>
          <w:b/>
          <w:sz w:val="28"/>
          <w:szCs w:val="28"/>
        </w:rPr>
      </w:pPr>
      <w:r/>
      <w:bookmarkStart w:id="205" w:name="_Toc144974515"/>
      <w:r/>
      <w:bookmarkStart w:id="206" w:name="_Toc247085706"/>
      <w:r/>
      <w:bookmarkStart w:id="207" w:name="_Toc246996192"/>
      <w:r/>
      <w:bookmarkStart w:id="208" w:name="_Toc152042323"/>
      <w:r/>
      <w:bookmarkStart w:id="209" w:name="_Toc246996935"/>
      <w:r/>
      <w:bookmarkStart w:id="210" w:name="_Toc343525523"/>
      <w:r/>
      <w:bookmarkStart w:id="211" w:name="_Toc383438610"/>
      <w:r/>
      <w:bookmarkStart w:id="212" w:name="_Toc152045547"/>
      <w:r/>
      <w:bookmarkStart w:id="213" w:name="_Toc179632565"/>
      <w:r/>
      <w:bookmarkStart w:id="214" w:name="_Toc426469888"/>
      <w:r>
        <w:rPr>
          <w:rFonts w:ascii="楷体" w:hAnsi="楷体" w:eastAsia="楷体"/>
          <w:b/>
          <w:sz w:val="28"/>
          <w:szCs w:val="28"/>
        </w:rPr>
        <w:t xml:space="preserve">3</w:t>
      </w:r>
      <w:r>
        <w:rPr>
          <w:rFonts w:ascii="楷体" w:hAnsi="楷体" w:eastAsia="楷体" w:cs="宋体"/>
          <w:b/>
          <w:sz w:val="28"/>
          <w:szCs w:val="28"/>
        </w:rPr>
        <w:t xml:space="preserve">.1</w:t>
      </w:r>
      <w:bookmarkEnd w:id="205"/>
      <w:r/>
      <w:bookmarkEnd w:id="206"/>
      <w:r/>
      <w:bookmarkEnd w:id="207"/>
      <w:r/>
      <w:bookmarkEnd w:id="208"/>
      <w:r/>
      <w:bookmarkEnd w:id="209"/>
      <w:r/>
      <w:bookmarkEnd w:id="210"/>
      <w:r/>
      <w:bookmarkEnd w:id="211"/>
      <w:r/>
      <w:bookmarkEnd w:id="212"/>
      <w:r/>
      <w:bookmarkEnd w:id="213"/>
      <w:r>
        <w:rPr>
          <w:rFonts w:hint="eastAsia" w:ascii="楷体" w:hAnsi="楷体" w:eastAsia="楷体" w:cs="宋体"/>
          <w:b/>
          <w:sz w:val="28"/>
          <w:szCs w:val="28"/>
        </w:rPr>
        <w:t xml:space="preserve">投标文件的组成</w:t>
      </w:r>
      <w:bookmarkEnd w:id="214"/>
      <w:r/>
      <w:r/>
    </w:p>
    <w:p>
      <w:pPr>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520" w:lineRule="exact"/>
        <w:rPr>
          <w:rFonts w:ascii="楷体" w:hAnsi="楷体" w:eastAsia="楷体" w:cs="宋体"/>
          <w:b/>
          <w:sz w:val="28"/>
          <w:szCs w:val="28"/>
        </w:rPr>
      </w:pPr>
      <w:r/>
      <w:bookmarkStart w:id="215" w:name="_Toc367785004"/>
      <w:r/>
      <w:bookmarkStart w:id="216" w:name="_Toc426469889"/>
      <w:r>
        <w:rPr>
          <w:rFonts w:ascii="楷体" w:hAnsi="楷体" w:eastAsia="楷体" w:cs="宋体"/>
          <w:b/>
          <w:sz w:val="28"/>
          <w:szCs w:val="28"/>
        </w:rPr>
        <w:t xml:space="preserve">3.2</w:t>
      </w:r>
      <w:bookmarkEnd w:id="215"/>
      <w:r>
        <w:rPr>
          <w:rFonts w:hint="eastAsia" w:ascii="楷体" w:hAnsi="楷体" w:eastAsia="楷体" w:cs="宋体"/>
          <w:b/>
          <w:sz w:val="28"/>
          <w:szCs w:val="28"/>
        </w:rPr>
        <w:t xml:space="preserve">投标报价</w:t>
      </w:r>
      <w:bookmarkEnd w:id="216"/>
      <w:r/>
      <w:r/>
    </w:p>
    <w:p>
      <w:pPr>
        <w:ind w:firstLine="560"/>
        <w:spacing w:line="520" w:lineRule="exact"/>
        <w:rPr>
          <w:rFonts w:ascii="宋体" w:hAnsi="宋体" w:cs="宋体"/>
          <w:sz w:val="28"/>
          <w:szCs w:val="28"/>
        </w:rPr>
      </w:pPr>
      <w:r/>
      <w:bookmarkStart w:id="217" w:name="_Toc246996194"/>
      <w:r/>
      <w:bookmarkStart w:id="218" w:name="_Toc426469890"/>
      <w:r/>
      <w:bookmarkStart w:id="219" w:name="_Toc152045549"/>
      <w:r/>
      <w:bookmarkStart w:id="220" w:name="_Toc343525525"/>
      <w:r/>
      <w:bookmarkStart w:id="221" w:name="_Toc152042325"/>
      <w:r/>
      <w:bookmarkStart w:id="222" w:name="_Toc247085708"/>
      <w:r/>
      <w:bookmarkStart w:id="223" w:name="_Toc383438612"/>
      <w:r/>
      <w:bookmarkStart w:id="224" w:name="_Toc144974517"/>
      <w:r/>
      <w:bookmarkStart w:id="225" w:name="_Toc246996937"/>
      <w:r/>
      <w:bookmarkStart w:id="226" w:name="_Toc179632567"/>
      <w:r>
        <w:rPr>
          <w:rFonts w:hint="eastAsia" w:ascii="宋体" w:hAnsi="宋体" w:cs="宋体"/>
          <w:sz w:val="28"/>
          <w:szCs w:val="28"/>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r/>
    </w:p>
    <w:p>
      <w:pPr>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3.2.4投标人的投标报价不得超过采购项目最高限价。</w:t>
      </w:r>
      <w:r/>
    </w:p>
    <w:p>
      <w:pPr>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17"/>
      <w:r/>
      <w:bookmarkEnd w:id="218"/>
      <w:r/>
      <w:bookmarkEnd w:id="219"/>
      <w:r/>
      <w:bookmarkEnd w:id="220"/>
      <w:r/>
      <w:bookmarkEnd w:id="221"/>
      <w:r/>
      <w:bookmarkEnd w:id="222"/>
      <w:r/>
      <w:bookmarkEnd w:id="223"/>
      <w:r/>
      <w:bookmarkEnd w:id="224"/>
      <w:r/>
      <w:bookmarkEnd w:id="225"/>
      <w:r/>
      <w:bookmarkEnd w:id="226"/>
      <w:r/>
      <w:r/>
    </w:p>
    <w:p>
      <w:pPr>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520" w:lineRule="exact"/>
        <w:rPr>
          <w:rFonts w:ascii="楷体" w:hAnsi="楷体" w:eastAsia="楷体"/>
          <w:b/>
          <w:sz w:val="28"/>
          <w:szCs w:val="28"/>
        </w:rPr>
      </w:pPr>
      <w:r/>
      <w:bookmarkStart w:id="227"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27"/>
      <w:r/>
      <w:r/>
    </w:p>
    <w:p>
      <w:pPr>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520" w:lineRule="exact"/>
        <w:rPr>
          <w:rFonts w:ascii="宋体" w:hAnsi="宋体"/>
          <w:sz w:val="28"/>
          <w:szCs w:val="28"/>
        </w:rPr>
      </w:pPr>
      <w:r/>
      <w:bookmarkStart w:id="228" w:name="_Toc426469894"/>
      <w:r/>
      <w:bookmarkStart w:id="229" w:name="_Toc367785016"/>
      <w:r>
        <w:rPr>
          <w:rFonts w:hint="eastAsia" w:ascii="宋体" w:hAnsi="宋体"/>
          <w:sz w:val="28"/>
          <w:szCs w:val="28"/>
        </w:rPr>
        <w:t xml:space="preserve">3.4.4投标文件的签署：见投标人须知前附表。</w:t>
      </w:r>
      <w:r/>
    </w:p>
    <w:p>
      <w:pPr>
        <w:spacing w:line="520" w:lineRule="exact"/>
        <w:rPr>
          <w:rFonts w:ascii="黑体" w:hAnsi="黑体" w:eastAsia="黑体"/>
          <w:sz w:val="32"/>
          <w:szCs w:val="32"/>
        </w:rPr>
      </w:pPr>
      <w:r/>
      <w:bookmarkStart w:id="230" w:name="_Toc152042364"/>
      <w:r/>
      <w:bookmarkStart w:id="231" w:name="_Toc383625994"/>
      <w:r/>
      <w:bookmarkStart w:id="232" w:name="_Toc390098841"/>
      <w:r/>
      <w:bookmarkStart w:id="233" w:name="_Toc179632605"/>
      <w:r/>
      <w:bookmarkStart w:id="234" w:name="_Toc144974554"/>
      <w:r/>
      <w:bookmarkStart w:id="235" w:name="_Toc390246906"/>
      <w:r/>
      <w:bookmarkStart w:id="236" w:name="_Toc152045587"/>
      <w:r/>
      <w:bookmarkStart w:id="237" w:name="_Toc383623673"/>
      <w:r/>
      <w:bookmarkStart w:id="238" w:name="_Toc246996230"/>
      <w:r/>
      <w:bookmarkStart w:id="239" w:name="_Toc343525562"/>
      <w:r/>
      <w:bookmarkStart w:id="240" w:name="_Toc383587457"/>
      <w:r/>
      <w:bookmarkStart w:id="241" w:name="_Toc383698648"/>
      <w:r/>
      <w:bookmarkStart w:id="242" w:name="_Toc383438646"/>
      <w:r/>
      <w:bookmarkStart w:id="243" w:name="_Toc247085745"/>
      <w:r/>
      <w:bookmarkStart w:id="244" w:name="_Toc383679747"/>
      <w:r/>
      <w:bookmarkStart w:id="245" w:name="_Toc383623945"/>
      <w:r/>
      <w:bookmarkStart w:id="246" w:name="_Toc390099019"/>
      <w:r/>
      <w:bookmarkStart w:id="247" w:name="_Toc246996973"/>
      <w:r/>
      <w:bookmarkEnd w:id="100"/>
      <w:r/>
      <w:bookmarkEnd w:id="228"/>
      <w:r/>
      <w:bookmarkEnd w:id="229"/>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w:t>
      </w:r>
      <w:r>
        <w:rPr>
          <w:rFonts w:hint="eastAsia" w:ascii="宋体" w:hAnsi="宋体" w:cs="宋体"/>
          <w:sz w:val="28"/>
          <w:szCs w:val="28"/>
        </w:rPr>
        <w:t xml:space="preserve">易系统（苏采云）接受到的最后一份投标文件为准。</w:t>
      </w:r>
      <w:r/>
    </w:p>
    <w:p>
      <w:pPr>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520" w:lineRule="exact"/>
        <w:rPr>
          <w:rFonts w:ascii="黑体" w:hAnsi="黑体" w:eastAsia="黑体"/>
          <w:sz w:val="32"/>
          <w:szCs w:val="32"/>
        </w:rPr>
      </w:pPr>
      <w:r/>
      <w:bookmarkStart w:id="248" w:name="_Hlt26955064"/>
      <w:r/>
      <w:bookmarkStart w:id="249" w:name="_Hlt26609391"/>
      <w:r/>
      <w:bookmarkStart w:id="250" w:name="_Hlt26671372"/>
      <w:r/>
      <w:bookmarkStart w:id="251" w:name="_Hlt24879081"/>
      <w:r/>
      <w:bookmarkStart w:id="252" w:name="_Hlt26671343"/>
      <w:r/>
      <w:bookmarkStart w:id="253" w:name="_Hlt26955056"/>
      <w:r/>
      <w:bookmarkStart w:id="254" w:name="_Hlt26782999"/>
      <w:r/>
      <w:bookmarkStart w:id="255" w:name="_Hlt26580838"/>
      <w:r/>
      <w:bookmarkEnd w:id="65"/>
      <w:r/>
      <w:bookmarkEnd w:id="66"/>
      <w:r/>
      <w:bookmarkEnd w:id="67"/>
      <w:r/>
      <w:bookmarkEnd w:id="68"/>
      <w:r/>
      <w:bookmarkEnd w:id="69"/>
      <w:r/>
      <w:bookmarkEnd w:id="70"/>
      <w:r/>
      <w:bookmarkEnd w:id="71"/>
      <w:r/>
      <w:bookmarkEnd w:id="72"/>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52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520" w:lineRule="exact"/>
        <w:rPr>
          <w:rFonts w:ascii="楷体" w:hAnsi="楷体" w:eastAsia="楷体"/>
          <w:b/>
          <w:sz w:val="28"/>
          <w:szCs w:val="28"/>
        </w:rPr>
      </w:pPr>
      <w:r>
        <w:rPr>
          <w:rFonts w:hint="eastAsia" w:ascii="宋体" w:hAnsi="宋体" w:cs="宋体"/>
          <w:sz w:val="28"/>
        </w:rPr>
        <w:t xml:space="preserve">需要补充的其他内容：见供应商须知前附表。</w:t>
      </w:r>
      <w:r/>
    </w:p>
    <w:p>
      <w:pPr>
        <w:jc w:val="left"/>
        <w:widowControl/>
      </w:pPr>
      <w:r>
        <w:br w:type="page" w:clear="all"/>
      </w:r>
      <w:r/>
    </w:p>
    <w:p>
      <w:pPr>
        <w:pStyle w:val="883"/>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56" w:name="_Toc383438647"/>
      <w:r/>
      <w:bookmarkStart w:id="257" w:name="_Toc247085746"/>
      <w:r/>
      <w:bookmarkStart w:id="258" w:name="_Toc144974555"/>
      <w:r/>
      <w:bookmarkStart w:id="259" w:name="_Toc179632606"/>
      <w:r/>
      <w:bookmarkStart w:id="260" w:name="_Toc426469920"/>
      <w:r/>
      <w:bookmarkStart w:id="261" w:name="_Toc246996974"/>
      <w:r/>
      <w:bookmarkStart w:id="262" w:name="_Toc152045588"/>
      <w:r/>
      <w:bookmarkStart w:id="263" w:name="_Toc152042365"/>
      <w:r/>
      <w:bookmarkStart w:id="264" w:name="_Toc246996231"/>
      <w:r/>
      <w:bookmarkStart w:id="265" w:name="_Toc343525563"/>
      <w:r>
        <w:rPr>
          <w:rFonts w:hint="eastAsia"/>
          <w:sz w:val="28"/>
          <w:szCs w:val="28"/>
        </w:rPr>
        <w:t xml:space="preserve">资格审查和评标办法前附表</w:t>
      </w:r>
      <w:bookmarkStart w:id="266" w:name="_Toc343525564"/>
      <w:r/>
      <w:bookmarkStart w:id="267" w:name="_Toc152042366"/>
      <w:r/>
      <w:bookmarkStart w:id="268" w:name="_Toc152045589"/>
      <w:r/>
      <w:bookmarkStart w:id="269" w:name="_Toc246996975"/>
      <w:r/>
      <w:bookmarkStart w:id="270" w:name="_Toc246996232"/>
      <w:r/>
      <w:bookmarkStart w:id="271" w:name="_Toc179632607"/>
      <w:r/>
      <w:bookmarkStart w:id="272" w:name="_Toc144974556"/>
      <w:r/>
      <w:bookmarkStart w:id="273" w:name="_Toc247085747"/>
      <w:r/>
      <w:bookmarkEnd w:id="256"/>
      <w:r/>
      <w:bookmarkEnd w:id="257"/>
      <w:r/>
      <w:bookmarkEnd w:id="258"/>
      <w:r/>
      <w:bookmarkEnd w:id="259"/>
      <w:r/>
      <w:bookmarkEnd w:id="260"/>
      <w:r/>
      <w:bookmarkEnd w:id="261"/>
      <w:r/>
      <w:bookmarkEnd w:id="262"/>
      <w:r/>
      <w:bookmarkEnd w:id="263"/>
      <w:r/>
      <w:bookmarkEnd w:id="264"/>
      <w:r/>
      <w:bookmarkEnd w:id="265"/>
      <w:r/>
      <w:r/>
    </w:p>
    <w:tbl>
      <w:tblPr>
        <w:tblW w:w="9663"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567"/>
        <w:gridCol w:w="591"/>
        <w:gridCol w:w="676"/>
        <w:gridCol w:w="2273"/>
        <w:gridCol w:w="5556"/>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jc w:val="center"/>
          <w:trHeight w:val="30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74" w:name="OLE_LINK29"/>
            <w:r/>
            <w:bookmarkStart w:id="275" w:name="OLE_LINK30"/>
            <w:r>
              <w:rPr>
                <w:rFonts w:hint="eastAsia" w:asciiTheme="minorEastAsia" w:hAnsiTheme="minorEastAsia" w:eastAsiaTheme="minorEastAsia"/>
              </w:rPr>
              <w:t xml:space="preserve">投标文件的签署</w:t>
            </w:r>
            <w:bookmarkEnd w:id="274"/>
            <w:r/>
            <w:bookmarkEnd w:id="275"/>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76" w:name="OLE_LINK32"/>
            <w:r/>
            <w:bookmarkStart w:id="277" w:name="OLE_LINK31"/>
            <w:r>
              <w:rPr>
                <w:rFonts w:hint="eastAsia" w:asciiTheme="minorEastAsia" w:hAnsiTheme="minorEastAsia" w:eastAsiaTheme="minorEastAsia"/>
              </w:rPr>
              <w:t xml:space="preserve">符合第二章第3.4.4项规定</w:t>
            </w:r>
            <w:bookmarkEnd w:id="276"/>
            <w:r/>
            <w:bookmarkEnd w:id="277"/>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bookmarkStart w:id="278" w:name="OLE_LINK27"/>
            <w:r/>
            <w:bookmarkStart w:id="279" w:name="OLE_LINK28"/>
            <w:r>
              <w:rPr>
                <w:rFonts w:hint="eastAsia" w:asciiTheme="minorEastAsia" w:hAnsiTheme="minorEastAsia" w:eastAsiaTheme="minorEastAsia"/>
              </w:rPr>
              <w:t xml:space="preserve">有且只有一个有效报价；未超过采购预算或最高限价；</w:t>
            </w:r>
            <w:bookmarkEnd w:id="278"/>
            <w:r/>
            <w:bookmarkEnd w:id="279"/>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0" w:name="OLE_LINK33"/>
            <w:r/>
            <w:bookmarkStart w:id="281" w:name="OLE_LINK34"/>
            <w:r>
              <w:rPr>
                <w:rFonts w:hint="eastAsia" w:asciiTheme="minorEastAsia" w:hAnsiTheme="minorEastAsia" w:eastAsiaTheme="minorEastAsia"/>
              </w:rPr>
              <w:t xml:space="preserve">合同履行期限</w:t>
            </w:r>
            <w:bookmarkEnd w:id="280"/>
            <w:r/>
            <w:bookmarkEnd w:id="281"/>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2" w:name="OLE_LINK35"/>
            <w:r/>
            <w:bookmarkStart w:id="283" w:name="OLE_LINK36"/>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bookmarkEnd w:id="282"/>
            <w:r/>
            <w:bookmarkEnd w:id="283"/>
            <w:r/>
            <w:r/>
          </w:p>
        </w:tc>
      </w:tr>
      <w:tr>
        <w:trPr>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4" w:name="OLE_LINK38"/>
            <w:r/>
            <w:bookmarkStart w:id="285" w:name="OLE_LINK37"/>
            <w:r>
              <w:rPr>
                <w:rFonts w:hint="eastAsia" w:asciiTheme="minorEastAsia" w:hAnsiTheme="minorEastAsia" w:eastAsiaTheme="minorEastAsia"/>
              </w:rPr>
              <w:t xml:space="preserve">投标有效期</w:t>
            </w:r>
            <w:bookmarkEnd w:id="284"/>
            <w:r/>
            <w:bookmarkEnd w:id="285"/>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6" w:name="OLE_LINK2"/>
            <w:r/>
            <w:bookmarkStart w:id="287" w:name="OLE_LINK39"/>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86"/>
            <w:r/>
            <w:bookmarkEnd w:id="287"/>
            <w:r/>
            <w:r/>
          </w:p>
        </w:tc>
      </w:tr>
      <w:tr>
        <w:trPr>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8" w:name="OLE_LINK41"/>
            <w:r/>
            <w:bookmarkStart w:id="289" w:name="OLE_LINK40"/>
            <w:r>
              <w:rPr>
                <w:rFonts w:hint="eastAsia" w:asciiTheme="minorEastAsia" w:hAnsiTheme="minorEastAsia" w:eastAsiaTheme="minorEastAsia"/>
              </w:rPr>
              <w:t xml:space="preserve">偏离</w:t>
            </w:r>
            <w:bookmarkEnd w:id="288"/>
            <w:r/>
            <w:bookmarkEnd w:id="289"/>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90" w:name="OLE_LINK13"/>
            <w:r/>
            <w:bookmarkStart w:id="291" w:name="OLE_LINK14"/>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90"/>
            <w:r/>
            <w:bookmarkEnd w:id="291"/>
            <w:r/>
            <w:r/>
          </w:p>
        </w:tc>
      </w:tr>
      <w:tr>
        <w:trPr>
          <w:jc w:val="center"/>
          <w:trHeight w:val="37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5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b/>
                <w:bCs/>
                <w:szCs w:val="21"/>
              </w:rPr>
            </w:pPr>
            <w:r/>
            <w:bookmarkStart w:id="292" w:name="_Toc426469921"/>
            <w:r>
              <w:rPr>
                <w:rFonts w:hint="eastAsia" w:ascii="宋体" w:hAnsi="宋体"/>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rPr>
                <w:rFonts w:ascii="宋体" w:hAnsi="宋体"/>
                <w:b/>
                <w:bCs/>
                <w:szCs w:val="21"/>
              </w:rPr>
            </w:pPr>
            <w:r>
              <w:rPr>
                <w:rFonts w:hint="eastAsia" w:ascii="宋体" w:hAnsi="宋体"/>
                <w:b/>
                <w:bCs/>
                <w:szCs w:val="21"/>
              </w:rPr>
              <w:t xml:space="preserve">评分因素</w:t>
            </w:r>
            <w:r/>
          </w:p>
          <w:p>
            <w:pPr>
              <w:ind w:firstLine="28"/>
              <w:jc w:val="center"/>
              <w:rPr>
                <w:rFonts w:ascii="宋体" w:hAnsi="宋体"/>
                <w:b/>
                <w:bCs/>
                <w:szCs w:val="21"/>
              </w:rPr>
            </w:pPr>
            <w:r>
              <w:rPr>
                <w:rFonts w:hint="eastAsia" w:ascii="宋体" w:hAnsi="宋体"/>
                <w:b/>
                <w:bCs/>
                <w:szCs w:val="21"/>
              </w:rPr>
              <w:t xml:space="preserve">及权重</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ind w:firstLine="28"/>
              <w:jc w:val="center"/>
              <w:spacing w:line="500" w:lineRule="exact"/>
              <w:rPr>
                <w:rFonts w:ascii="宋体" w:hAnsi="宋体"/>
                <w:b/>
                <w:bCs/>
                <w:szCs w:val="21"/>
              </w:rPr>
            </w:pPr>
            <w:r>
              <w:rPr>
                <w:rFonts w:hint="eastAsia" w:ascii="宋体" w:hAnsi="宋体"/>
                <w:b/>
                <w:bCs/>
                <w:szCs w:val="21"/>
              </w:rPr>
              <w:t xml:space="preserve">评分标准</w:t>
            </w:r>
            <w:r/>
          </w:p>
        </w:tc>
      </w:tr>
      <w:tr>
        <w:trPr>
          <w:jc w:val="center"/>
          <w:trHeight w:val="56"/>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
                <w:bCs/>
                <w:sz w:val="28"/>
                <w:szCs w:val="28"/>
              </w:rPr>
            </w:pPr>
            <w:r>
              <w:rPr>
                <w:rFonts w:hint="eastAsia" w:ascii="宋体" w:hAnsi="宋体"/>
                <w:b/>
                <w:bCs/>
              </w:rPr>
              <w:t xml:space="preserve">报价部分（30分）</w:t>
            </w:r>
            <w:r/>
          </w:p>
        </w:tc>
      </w:tr>
      <w:tr>
        <w:trPr>
          <w:jc w:val="center"/>
          <w:trHeight w:val="27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投标报价</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bookmarkStart w:id="293" w:name="OLE_LINK43"/>
            <w:r/>
            <w:bookmarkStart w:id="294" w:name="OLE_LINK42"/>
            <w:r/>
            <w:bookmarkStart w:id="295" w:name="OLE_LINK15"/>
            <w:r>
              <w:rPr>
                <w:rFonts w:hint="eastAsia" w:asciiTheme="minorEastAsia" w:hAnsiTheme="minorEastAsia" w:eastAsiaTheme="minorEastAsia" w:cstheme="minorEastAsia"/>
              </w:rPr>
              <w:t xml:space="preserve">价格分统一采用低价优先法计算，即满足招标文件要求且投标价格最低的投标报价为评标基准价，其价格分为满分，其他招标人的价格分统一按照下列公式计算：</w:t>
            </w:r>
            <w:r/>
          </w:p>
          <w:p>
            <w:pPr>
              <w:spacing w:line="400" w:lineRule="exact"/>
              <w:rPr>
                <w:rFonts w:ascii="宋体" w:hAnsi="宋体"/>
                <w:bCs/>
                <w:szCs w:val="21"/>
                <w:lang w:val="zh-CN"/>
              </w:rPr>
            </w:pPr>
            <w:r>
              <w:rPr>
                <w:rFonts w:hint="eastAsia" w:asciiTheme="minorEastAsia" w:hAnsiTheme="minorEastAsia" w:eastAsiaTheme="minorEastAsia" w:cstheme="minorEastAsia"/>
              </w:rPr>
              <w:t xml:space="preserve">投标报价得分＝（评标基准价/投标报价）×30分。</w:t>
            </w:r>
            <w:bookmarkEnd w:id="293"/>
            <w:r/>
            <w:bookmarkEnd w:id="294"/>
            <w:r/>
            <w:bookmarkEnd w:id="295"/>
            <w:r/>
            <w:r/>
          </w:p>
        </w:tc>
      </w:tr>
      <w:tr>
        <w:trPr>
          <w:jc w:val="center"/>
          <w:trHeight w:val="273"/>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Cs/>
                <w:lang w:val="zh-CN"/>
              </w:rPr>
            </w:pPr>
            <w:r>
              <w:rPr>
                <w:rFonts w:hint="eastAsia" w:ascii="宋体" w:hAnsi="宋体"/>
                <w:b/>
                <w:bCs/>
              </w:rPr>
              <w:t xml:space="preserve">商务部分（24分）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bookmarkStart w:id="296" w:name="_Hlk216682853"/>
            <w:r>
              <w:rPr>
                <w:rFonts w:hint="eastAsia" w:ascii="宋体" w:hAnsi="宋体"/>
                <w:szCs w:val="21"/>
              </w:rPr>
              <w:t xml:space="preserve">2</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bookmarkStart w:id="297" w:name="OLE_LINK49"/>
            <w:r/>
            <w:bookmarkStart w:id="298" w:name="OLE_LINK48"/>
            <w:r>
              <w:rPr>
                <w:rFonts w:hint="eastAsia" w:ascii="宋体" w:hAnsi="宋体"/>
                <w:szCs w:val="21"/>
              </w:rPr>
              <w:t xml:space="preserve">企业实力</w:t>
            </w:r>
            <w:bookmarkEnd w:id="297"/>
            <w:r/>
            <w:bookmarkEnd w:id="298"/>
            <w:r>
              <w:rPr>
                <w:rFonts w:hint="eastAsia" w:ascii="宋体" w:hAnsi="宋体"/>
                <w:szCs w:val="21"/>
              </w:rPr>
              <w:t xml:space="preserve">（17分）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numPr>
                <w:ilvl w:val="0"/>
                <w:numId w:val="3"/>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投标人具有有效期内的质量管理、环境管理、职业健康安全管理认证证书，每具有一个证书得1分，最高得3分。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2、投标人具有有效的售后服务认证证书（认证范围须包含信息系统集成运维服务），得1分。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3、投标人具有农业无人机作业管控类（农业无人机作业、航线规划、指挥调度、飞控数据分析、智能巡田管理领域等与本项目建设内容相关）软件著作权登记证书，得1分。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4、投标人具有智慧农田监测与大数据分析类（农田智能监测、农作物长势分析、农业大数据管理、智慧农业决策、病虫害智能测报领域等与本项目建设内容相关）软件著作权登记证书，得1分。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5、投标人具有农业物联网与视频智能应用类（农业物联网数据管理、视频智能分析、数据存储传输、智能设备监控领域等与本项目建设内容相关）软件著作权登记证书，得1分。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6、投标人具有农业综合管理与生产服务类（农业生产管理、农技服务、农产品管控、农业供应链管理领域等与本项目建设内容相关）软件著作权登记证书，得1分。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7、投标人自2023年1月1日以来（以合同签订时间为准）承接过农业综合服务中心建设项目或智慧农业类项目的，有1个得3分，最高得9分。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注：序号1-6须提供证书原件扫描件，</w:t>
            </w:r>
            <w:bookmarkStart w:id="299" w:name="OLE_LINK47"/>
            <w:r>
              <w:rPr>
                <w:rFonts w:hint="eastAsia" w:asciiTheme="minorEastAsia" w:hAnsiTheme="minorEastAsia" w:eastAsiaTheme="minorEastAsia" w:cstheme="minorEastAsia"/>
              </w:rPr>
              <w:t xml:space="preserve">否则不得分</w:t>
            </w:r>
            <w:bookmarkEnd w:id="299"/>
            <w:r>
              <w:rPr>
                <w:rFonts w:hint="eastAsia" w:asciiTheme="minorEastAsia" w:hAnsiTheme="minorEastAsia" w:eastAsiaTheme="minorEastAsia" w:cstheme="minorEastAsia"/>
              </w:rPr>
              <w:t xml:space="preserve">。</w:t>
            </w:r>
            <w:r/>
          </w:p>
          <w:p>
            <w:pPr>
              <w:spacing w:line="400" w:lineRule="exact"/>
              <w:rPr>
                <w:rFonts w:ascii="仿宋" w:hAnsi="仿宋" w:eastAsia="仿宋" w:cs="仿宋"/>
                <w:color w:val="ff0000"/>
                <w:szCs w:val="21"/>
              </w:rPr>
            </w:pPr>
            <w:r>
              <w:rPr>
                <w:rFonts w:hint="eastAsia" w:asciiTheme="minorEastAsia" w:hAnsiTheme="minorEastAsia" w:eastAsiaTheme="minorEastAsia" w:cstheme="minorEastAsia"/>
              </w:rPr>
              <w:t xml:space="preserve">序号7须提供中标（成交）通知书和合同的原件扫描件，否则不得分。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3</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服务团队实力</w:t>
            </w:r>
            <w:r/>
          </w:p>
          <w:p>
            <w:pPr>
              <w:jc w:val="center"/>
              <w:spacing w:line="440" w:lineRule="atLeast"/>
              <w:rPr>
                <w:rFonts w:ascii="宋体" w:hAnsi="宋体"/>
                <w:szCs w:val="21"/>
              </w:rPr>
            </w:pPr>
            <w:r>
              <w:rPr>
                <w:rFonts w:hint="eastAsia" w:ascii="宋体" w:hAnsi="宋体"/>
                <w:szCs w:val="21"/>
              </w:rPr>
              <w:t xml:space="preserve">（7分）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1、项目负责人能力比较（2分）：具有信息系统项目管理师、电子信息类高级（含）以上职称的，每</w:t>
            </w:r>
            <w:bookmarkStart w:id="300" w:name="_GoBack"/>
            <w:r/>
            <w:bookmarkEnd w:id="300"/>
            <w:r>
              <w:rPr>
                <w:rFonts w:hint="eastAsia" w:asciiTheme="minorEastAsia" w:hAnsiTheme="minorEastAsia" w:eastAsiaTheme="minorEastAsia" w:cstheme="minorEastAsia"/>
              </w:rPr>
              <w:t xml:space="preserve">提供一个得1分，最高得2分。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2、项目部组成人员能力比较（5分）：具有网络工程师、软件设计师、软件测试工程师、信息安全保障人员、弱电系统集成项目经理、售后服务管理师、IT运维服务工程师的，每提供一个得1分，最高得5分。</w:t>
            </w:r>
            <w:r/>
          </w:p>
          <w:p>
            <w:pPr>
              <w:spacing w:line="400" w:lineRule="exact"/>
              <w:rPr>
                <w:rFonts w:ascii="宋体" w:hAnsi="宋体"/>
                <w:szCs w:val="21"/>
              </w:rPr>
            </w:pPr>
            <w:r>
              <w:rPr>
                <w:rFonts w:hint="eastAsia" w:asciiTheme="minorEastAsia" w:hAnsiTheme="minorEastAsia" w:eastAsiaTheme="minorEastAsia" w:cstheme="minorEastAsia"/>
              </w:rPr>
              <w:t xml:space="preserve">注：以上所有人员不得相互兼任，同一人员有多个证书的仅计算一次。须提供相关人员证书及近三个月内任意一个月在投标单位参保的社保缴费证明原件扫描件。</w:t>
            </w:r>
            <w:r/>
          </w:p>
        </w:tc>
      </w:tr>
      <w:tr>
        <w:trPr>
          <w:jc w:val="center"/>
          <w:trHeight w:val="511"/>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szCs w:val="21"/>
              </w:rPr>
            </w:pPr>
            <w:r>
              <w:rPr>
                <w:rFonts w:hint="eastAsia" w:ascii="宋体" w:hAnsi="宋体"/>
                <w:b/>
                <w:bCs/>
              </w:rPr>
              <w:t xml:space="preserve">技术部分（46分）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4</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技术要求响应</w:t>
            </w:r>
            <w:r/>
          </w:p>
          <w:p>
            <w:pPr>
              <w:jc w:val="center"/>
              <w:spacing w:line="440" w:lineRule="atLeast"/>
              <w:rPr>
                <w:rFonts w:ascii="宋体" w:hAnsi="宋体" w:eastAsiaTheme="minorEastAsia"/>
                <w:szCs w:val="21"/>
              </w:rPr>
            </w:pPr>
            <w:r>
              <w:rPr>
                <w:rFonts w:hint="eastAsia" w:asciiTheme="minorEastAsia" w:hAnsiTheme="minorEastAsia" w:eastAsiaTheme="minorEastAsia" w:cstheme="minorEastAsia"/>
                <w:color w:val="000000" w:themeColor="text1"/>
              </w:rPr>
              <w:t xml:space="preserve">（16分）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宋体" w:hAnsi="宋体"/>
                <w:szCs w:val="21"/>
              </w:rPr>
            </w:pPr>
            <w:r>
              <w:rPr>
                <w:rFonts w:hint="eastAsia" w:asciiTheme="minorEastAsia" w:hAnsiTheme="minorEastAsia" w:eastAsiaTheme="minorEastAsia" w:cstheme="minorEastAsia"/>
              </w:rPr>
              <w:t xml:space="preserve">根据投标单位所投产品的技术参数与招标文件要求比较，完全响应招标文件要求（即未偏离或正偏离）的得16分；标“▲”技术参数存在负偏离的，每有一项扣0.5分；其他标准和要求存在负偏离的，每有一项扣 0.2分。扣完为止。（要求提供检测报告的，出具检测报告的单位必须能够在国家市场监督管理总局网站全国认证认可信息公共服务平台可查询，并提供相关截图，否则视为负偏离。）</w:t>
            </w:r>
            <w:r/>
          </w:p>
        </w:tc>
      </w:tr>
      <w:tr>
        <w:trPr>
          <w:jc w:val="center"/>
          <w:trHeight w:val="511"/>
        </w:trPr>
        <w:tc>
          <w:tcPr>
            <w:tcBorders>
              <w:top w:val="single" w:color="auto" w:sz="4" w:space="0"/>
              <w:left w:val="single" w:color="auto" w:sz="4" w:space="0"/>
              <w:right w:val="single" w:color="auto" w:sz="4" w:space="0"/>
            </w:tcBorders>
            <w:tcW w:w="5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5</w:t>
            </w:r>
            <w:r/>
          </w:p>
        </w:tc>
        <w:tc>
          <w:tcPr>
            <w:gridSpan w:val="2"/>
            <w:tcBorders>
              <w:top w:val="single" w:color="auto" w:sz="4" w:space="0"/>
              <w:left w:val="none" w:color="000000" w:sz="4" w:space="0"/>
              <w:right w:val="single" w:color="auto" w:sz="4" w:space="0"/>
            </w:tcBorders>
            <w:tcW w:w="12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实施方案（24分）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pStyle w:val="887"/>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投标单位根据项目需求情况提供完善的项目技术方案，包括：项目概况、需求分析、技术路线、建设目标、建设思路、建设内容、对作物病虫害监测分析、农技指导服务。</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widowControl/>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color w:val="000000" w:themeColor="text1"/>
              </w:rPr>
              <w:t xml:space="preserve">投标单位根据项目需求情况提供完善的设备进场、安装调试计划方案，包括：供货计划、设备安装计划、软硬件调试计划、质量保障措施。</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widowControl/>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color w:val="000000" w:themeColor="text1"/>
              </w:rPr>
              <w:t xml:space="preserve">投标单位根据项目需求情况提供完善的项目培训和验收方案，包括：培训内容、培训人员配备、培训计划、培训方式、验收准备、验收标准。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根据投标人提供的售后服务方案进行综合评审，包括但不限于以下部分:售后服务团队、服务流程、服务方式、服务承诺、响应及解决时间、定期性检查方案等：</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r/>
          </w:p>
        </w:tc>
      </w:tr>
      <w:tr>
        <w:trPr>
          <w:jc w:val="center"/>
          <w:trHeight w:val="2257"/>
        </w:trPr>
        <w:tc>
          <w:tcPr>
            <w:tcBorders>
              <w:left w:val="single" w:color="auto" w:sz="4" w:space="0"/>
              <w:right w:val="single" w:color="auto" w:sz="4" w:space="0"/>
            </w:tcBorders>
            <w:tcW w:w="5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6</w:t>
            </w:r>
            <w:r/>
          </w:p>
        </w:tc>
        <w:tc>
          <w:tcPr>
            <w:gridSpan w:val="2"/>
            <w:tcBorders>
              <w:left w:val="none" w:color="000000" w:sz="4" w:space="0"/>
              <w:right w:val="single" w:color="auto" w:sz="4" w:space="0"/>
            </w:tcBorders>
            <w:tcW w:w="12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系统演示（6分）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视频演示:供应商需提供软件系统演示，演示方式为视频录制，视频时间控制在15分钟内。单个视频附件压缩包大小不得超过50M，整体附件压缩包不得超过300M，压缩包文件格式为zip格式。对于所有演示内容，需提供软件系统演示，针对以下每条功能点进行演示。</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演示内容功能全面、效果好的，得</w:t>
            </w:r>
            <w:r>
              <w:rPr>
                <w:rFonts w:hint="eastAsia" w:asciiTheme="minorEastAsia" w:hAnsiTheme="minorEastAsia" w:eastAsiaTheme="minorEastAsia" w:cstheme="minorEastAsia"/>
                <w:color w:val="000000" w:themeColor="text1"/>
              </w:rPr>
              <w:t xml:space="preserve">6</w:t>
            </w:r>
            <w:r>
              <w:rPr>
                <w:rFonts w:asciiTheme="minorEastAsia" w:hAnsiTheme="minorEastAsia" w:eastAsiaTheme="minorEastAsia" w:cstheme="minorEastAsia"/>
                <w:color w:val="000000" w:themeColor="text1"/>
              </w:rPr>
              <w:t xml:space="preserve">分；</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演示内容功能较全面、较为科学合理、效果较好，得</w:t>
            </w:r>
            <w:r>
              <w:rPr>
                <w:rFonts w:hint="eastAsia" w:asciiTheme="minorEastAsia" w:hAnsiTheme="minorEastAsia" w:eastAsiaTheme="minorEastAsia" w:cstheme="minorEastAsia"/>
                <w:color w:val="000000" w:themeColor="text1"/>
              </w:rPr>
              <w:t xml:space="preserve">4</w:t>
            </w:r>
            <w:r>
              <w:rPr>
                <w:rFonts w:asciiTheme="minorEastAsia" w:hAnsiTheme="minorEastAsia" w:eastAsiaTheme="minorEastAsia" w:cstheme="minorEastAsia"/>
                <w:color w:val="000000" w:themeColor="text1"/>
              </w:rPr>
              <w:t xml:space="preserve">分；</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演示内容功能不够全面、布局一般、效果一般的，得</w:t>
            </w:r>
            <w:r>
              <w:rPr>
                <w:rFonts w:hint="eastAsia" w:asciiTheme="minorEastAsia" w:hAnsiTheme="minorEastAsia" w:eastAsiaTheme="minorEastAsia" w:cstheme="minorEastAsia"/>
                <w:color w:val="000000" w:themeColor="text1"/>
              </w:rPr>
              <w:t xml:space="preserve">2</w:t>
            </w:r>
            <w:r>
              <w:rPr>
                <w:rFonts w:asciiTheme="minorEastAsia" w:hAnsiTheme="minorEastAsia" w:eastAsiaTheme="minorEastAsia" w:cstheme="minorEastAsia"/>
                <w:color w:val="000000" w:themeColor="text1"/>
              </w:rPr>
              <w:t xml:space="preserve">分；</w:t>
            </w:r>
            <w:r/>
          </w:p>
          <w:p>
            <w:pPr>
              <w:spacing w:line="360" w:lineRule="exact"/>
            </w:pPr>
            <w:r>
              <w:rPr>
                <w:rFonts w:asciiTheme="minorEastAsia" w:hAnsiTheme="minorEastAsia" w:eastAsiaTheme="minorEastAsia" w:cstheme="minorEastAsia"/>
                <w:color w:val="000000" w:themeColor="text1"/>
              </w:rPr>
              <w:t xml:space="preserve">未提供演示</w:t>
            </w:r>
            <w:r>
              <w:rPr>
                <w:rFonts w:hint="eastAsia" w:asciiTheme="minorEastAsia" w:hAnsiTheme="minorEastAsia" w:eastAsiaTheme="minorEastAsia" w:cstheme="minorEastAsia"/>
                <w:color w:val="000000" w:themeColor="text1"/>
              </w:rPr>
              <w:t xml:space="preserve">视频</w:t>
            </w:r>
            <w:r>
              <w:rPr>
                <w:rFonts w:asciiTheme="minorEastAsia" w:hAnsiTheme="minorEastAsia" w:eastAsiaTheme="minorEastAsia" w:cstheme="minorEastAsia"/>
                <w:color w:val="000000" w:themeColor="text1"/>
              </w:rPr>
              <w:t xml:space="preserve">或者功能不全面、不合理的不得分。</w:t>
            </w:r>
            <w:r/>
          </w:p>
        </w:tc>
      </w:tr>
      <w:tr>
        <w:trPr>
          <w:jc w:val="center"/>
          <w:trHeight w:val="364"/>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1）演示软件平台端侧能力，需要展示后台管理端、大屏端以及移动端；后台管理端提供进入大屏端和移动端的链接入口；后台管理端核心功能需包括数字农田、监测诊断、处方管理、智慧物联等功能，且需要提供大屏对应后台功能聚合展示页面；</w:t>
            </w:r>
            <w:r/>
          </w:p>
        </w:tc>
      </w:tr>
      <w:tr>
        <w:trPr>
          <w:jc w:val="center"/>
          <w:trHeight w:val="274"/>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2）演示数字农田的一地一码功能，演示后台管理端地块区域自主划分，并支持配置基础字段属性，完成配置后生成地块的专属二维码，大屏端该地块边界和二维码信息实时同步；支持移动设备扫码获取当前地块档案信息，提供地块基本信息、农作作业记录信息，监控设备查看，物联感知设备具体参数监控，物联监控设备一键控制等；</w:t>
            </w:r>
            <w:r/>
          </w:p>
        </w:tc>
      </w:tr>
      <w:tr>
        <w:trPr>
          <w:jc w:val="center"/>
          <w:trHeight w:val="238"/>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3）演示长势监测诊断，演示基础长势指标包括叶面积指数，叶片氮含量，地上部生物量等算法分析监测，也支持额外添加分析指标；提供种植全阶段针对性监测，包括耕前监测、种植过程监测以及收割监测等阶段，在种</w:t>
            </w:r>
            <w:r>
              <w:rPr>
                <w:rFonts w:asciiTheme="minorEastAsia" w:hAnsiTheme="minorEastAsia" w:eastAsiaTheme="minorEastAsia" w:cstheme="minorEastAsia"/>
                <w:color w:val="000000" w:themeColor="text1"/>
              </w:rPr>
              <w:t xml:space="preserve">植过程中依据作物生育时期的不同适配对应监测指标规划；提供完整的量化指标分析以及全域栅格分析影像，并给出初步的施肥施药或灌溉诊断；</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4）演示农作处方设计功能，支持三类处方包括施肥处方、施药处方以及灌溉处方；施肥施药处方提供全域施撒量统计分析，针对具体每个地块提供具体施肥配方以及建议施撒量信息，支持导出具体施肥施药处方原件；灌溉处方提供具体灌溉水量的全域统计分析，针对每个地块具体灌水量以及已灌溉量进行统计并展示；</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5）演示农业作业管控，支持无人机巡田管控，智能灌溉管控；支持无人机提供航线、任务设计与同步功能，支持按任务计划自动飞行，能实时监测无人机运行状态、任务执行进度及环境感知数据，并提供远程关舱、紧急返航等应急处置操作，实现巡飞过程视频实时监控与作业数据即时回传；支持无人机巢可视化呈现与设备信息维护；支持拍摄影像拼接制图一键式快速发起，可同步显示可见光、NDVI等部分常用多光谱拼图结果；智能灌溉管控支持对感知类灌溉设备如泵房、水位计等设备的数据监测管控，支持对控制类灌溉设备进行实时开关操作；</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6）演示害虫性诱智能测报仪功能；电脑端具有设备统计预览、设备分布、害虫预警设置、害虫监测、害虫趋势分析、多年同比分析等功能、能按害虫类别、地理区域筛选统计累计总数、平均数的趋势图；电脑端具有自动生产虫情分析报告的功能；手机APP端具有支持Harmony鸿蒙、iOS苹果和Android安卓系统、卵、幼虫各龄期的短期预测、田间成虫量的预测、灯诱数据换算的功能。</w:t>
            </w:r>
            <w:bookmarkEnd w:id="296"/>
            <w:r/>
            <w:r/>
          </w:p>
        </w:tc>
      </w:tr>
    </w:tbl>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92"/>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w:t>
      </w:r>
      <w:r>
        <w:rPr>
          <w:rFonts w:hint="eastAsia"/>
          <w:sz w:val="28"/>
          <w:szCs w:val="28"/>
        </w:rPr>
        <w:t xml:space="preserve">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888"/>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888"/>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888"/>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88"/>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888"/>
        <w:ind w:firstLine="560"/>
        <w:spacing w:line="500" w:lineRule="exact"/>
        <w:rPr>
          <w:rFonts w:ascii="宋体" w:hAnsi="宋体"/>
          <w:sz w:val="28"/>
          <w:szCs w:val="28"/>
        </w:rPr>
      </w:pPr>
      <w:r>
        <w:rPr>
          <w:rFonts w:hint="eastAsia" w:ascii="宋体" w:hAnsi="宋体"/>
          <w:sz w:val="28"/>
          <w:szCs w:val="28"/>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pStyle w:val="888"/>
        <w:ind w:firstLine="560"/>
        <w:spacing w:line="500" w:lineRule="exact"/>
      </w:pPr>
      <w:r>
        <w:rPr>
          <w:rFonts w:hint="eastAsia" w:ascii="宋体" w:hAnsi="宋体"/>
          <w:sz w:val="28"/>
          <w:szCs w:val="28"/>
        </w:rPr>
        <w:t xml:space="preserve">2.3.3.2对本国产品的报价给予20%的价格扣除，用扣除后的价格参与评审。当采购项目或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r/>
    </w:p>
    <w:p>
      <w:pPr>
        <w:spacing w:line="500" w:lineRule="exact"/>
        <w:rPr>
          <w:rFonts w:ascii="楷体" w:hAnsi="楷体" w:eastAsia="楷体"/>
          <w:b/>
          <w:sz w:val="28"/>
          <w:szCs w:val="28"/>
        </w:rPr>
      </w:pPr>
      <w:r/>
      <w:bookmarkStart w:id="301"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88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88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88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88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888"/>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w:t>
      </w:r>
      <w:r>
        <w:rPr>
          <w:rFonts w:hint="eastAsia" w:asciiTheme="minorEastAsia" w:hAnsiTheme="minorEastAsia" w:eastAsiaTheme="minorEastAsia"/>
          <w:sz w:val="28"/>
          <w:szCs w:val="28"/>
        </w:rPr>
        <w:t xml:space="preserve">报价按照本章第2.5条的规定经投标人确认后产生约束力，投标人不确认的，其投标无效。</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888"/>
        <w:ind w:firstLine="560"/>
        <w:spacing w:line="500" w:lineRule="exact"/>
        <w:rPr>
          <w:rFonts w:ascii="宋体" w:hAnsi="宋体"/>
          <w:sz w:val="28"/>
          <w:szCs w:val="28"/>
        </w:rPr>
      </w:pPr>
      <w:r>
        <w:rPr>
          <w:rFonts w:hint="eastAsia" w:ascii="宋体" w:hAnsi="宋体"/>
          <w:sz w:val="28"/>
          <w:szCs w:val="28"/>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财库[2026]2号文件规定执行。</w:t>
      </w:r>
      <w:r/>
    </w:p>
    <w:p>
      <w:pPr>
        <w:pStyle w:val="888"/>
        <w:ind w:firstLine="560"/>
        <w:spacing w:line="500" w:lineRule="exact"/>
        <w:rPr>
          <w:rFonts w:ascii="宋体" w:hAnsi="宋体"/>
          <w:sz w:val="28"/>
          <w:szCs w:val="28"/>
        </w:rPr>
      </w:pPr>
      <w:r>
        <w:rPr>
          <w:rFonts w:hint="eastAsia" w:ascii="宋体" w:hAnsi="宋体"/>
          <w:sz w:val="28"/>
          <w:szCs w:val="28"/>
        </w:rPr>
        <w:t xml:space="preserve">若投标报价出现财库[2026]2号文件第二条（一）第</w:t>
      </w:r>
      <w:r>
        <w:rPr>
          <w:rFonts w:hint="eastAsia" w:ascii="宋体" w:hAnsi="宋体"/>
          <w:sz w:val="28"/>
          <w:szCs w:val="28"/>
        </w:rPr>
        <w:t xml:space="preserve">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r/>
    </w:p>
    <w:p>
      <w:pPr>
        <w:pStyle w:val="888"/>
        <w:ind w:firstLine="560"/>
        <w:spacing w:line="500" w:lineRule="exact"/>
        <w:rPr>
          <w:rFonts w:ascii="宋体" w:hAnsi="宋体"/>
          <w:sz w:val="28"/>
          <w:szCs w:val="28"/>
        </w:rPr>
      </w:pPr>
      <w:r>
        <w:rPr>
          <w:rFonts w:hint="eastAsia" w:ascii="宋体" w:hAnsi="宋体"/>
          <w:sz w:val="28"/>
          <w:szCs w:val="28"/>
        </w:rPr>
        <w:t xml:space="preserve">评审委员会启动异常低价投标（响应）审查后，属于前述第1条至第4条情形的，应当要求相关供应商在评审现场合理的时间内对投标（响应）价格作出解释，提供项目具体成本测算等与报价合理性相关的书面</w:t>
      </w:r>
      <w:r>
        <w:rPr>
          <w:rFonts w:hint="eastAsia" w:ascii="宋体" w:hAnsi="宋体"/>
          <w:sz w:val="28"/>
          <w:szCs w:val="28"/>
        </w:rPr>
        <w:t xml:space="preserve">说明及必要的证明材料，包括但不限于原材料成本、人工成本、制造费用等。其中，属于第3条情形，供应商已随投标（响应）文件一并提交相关书面说明及必要的证明材料的，在评审现场可不再重复提交。</w:t>
      </w:r>
      <w:r/>
    </w:p>
    <w:p>
      <w:pPr>
        <w:pStyle w:val="888"/>
        <w:ind w:firstLine="560"/>
        <w:spacing w:line="500" w:lineRule="exact"/>
        <w:rPr>
          <w:rFonts w:ascii="宋体" w:hAnsi="宋体"/>
          <w:sz w:val="28"/>
          <w:szCs w:val="28"/>
        </w:rPr>
      </w:pPr>
      <w:r>
        <w:rPr>
          <w:rFonts w:hint="eastAsia" w:ascii="宋体" w:hAnsi="宋体"/>
          <w:sz w:val="28"/>
          <w:szCs w:val="28"/>
        </w:rPr>
        <w:t xml:space="preserve">如果投标供应商未提供书面说明、证明材料，或者提供的书面说明、证明材料不能证明其报价合理性的，评标委员会应对其作为无效投标处理。</w:t>
      </w:r>
      <w:r/>
    </w:p>
    <w:p>
      <w:pPr>
        <w:pStyle w:val="888"/>
        <w:ind w:firstLine="56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88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888"/>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888"/>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88"/>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888"/>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88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88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888"/>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888"/>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888"/>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66"/>
      <w:r/>
      <w:bookmarkEnd w:id="267"/>
      <w:r/>
      <w:bookmarkEnd w:id="268"/>
      <w:r/>
      <w:bookmarkEnd w:id="269"/>
      <w:r/>
      <w:bookmarkEnd w:id="270"/>
      <w:r/>
      <w:bookmarkEnd w:id="271"/>
      <w:r/>
      <w:bookmarkEnd w:id="272"/>
      <w:r/>
      <w:bookmarkEnd w:id="273"/>
      <w:r/>
      <w:bookmarkEnd w:id="301"/>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bookmarkStart w:id="302" w:name="OLE_LINK11"/>
      <w:r/>
      <w:bookmarkStart w:id="303" w:name="OLE_LINK12"/>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bCs/>
          <w:sz w:val="32"/>
          <w:szCs w:val="32"/>
        </w:rPr>
      </w:pPr>
      <w:r>
        <w:rPr>
          <w:rFonts w:ascii="黑体" w:hAnsi="黑体" w:eastAsia="黑体" w:cs="仿宋"/>
          <w:b/>
          <w:sz w:val="32"/>
          <w:szCs w:val="32"/>
        </w:rPr>
      </w:r>
      <w:r>
        <w:rPr>
          <w:rFonts w:ascii="黑体" w:hAnsi="黑体" w:eastAsia="黑体" w:cs="仿宋"/>
          <w:b/>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hint="eastAsia" w:ascii="黑体" w:hAnsi="黑体" w:eastAsia="黑体" w:cs="仿宋"/>
          <w:b/>
          <w:sz w:val="32"/>
          <w:szCs w:val="32"/>
        </w:rPr>
        <w:t xml:space="preserve">第四章 </w:t>
      </w:r>
      <w:bookmarkStart w:id="304" w:name="OLE_LINK129"/>
      <w:r/>
      <w:bookmarkStart w:id="305" w:name="OLE_LINK128"/>
      <w:r>
        <w:rPr>
          <w:rFonts w:hint="eastAsia" w:ascii="黑体" w:hAnsi="黑体" w:eastAsia="黑体" w:cs="仿宋"/>
          <w:b/>
          <w:sz w:val="32"/>
          <w:szCs w:val="32"/>
        </w:rPr>
        <w:t xml:space="preserve">采购需求</w:t>
      </w:r>
      <w:bookmarkEnd w:id="304"/>
      <w:r/>
      <w:bookmarkEnd w:id="305"/>
      <w:r/>
      <w:r/>
    </w:p>
    <w:p>
      <w:pPr>
        <w:pStyle w:val="888"/>
        <w:ind w:firstLine="560"/>
        <w:spacing w:after="0" w:line="48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1、投标人所投所有设备必须具备标准化数据输出接口，支持与国家级、省级、市级、县级和当地相关信息调度管理系统对接。</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2、中标人负责设备运输、安装、调试、质保期的运维等全过程安全，甲方不承担任何安全责任。</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3、中标人承但三年内所有设备网络通讯费、无人机保险费、设备耗材(性诱剂等)等费用，以维持设备、软件系统三年内正常运行，甲方不承担任何费用。</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中标人提供的设备参数不符、以次充好、无法正常运行、无法正常对接系统等情况，中标人必须无条件更换，如给招标人造成损失，则没收履约保证金，若履约保证金不够赔偿，招标人有权要求中标人对不足部分予以赔偿。</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5、所有监测数据必须能够上传苏农云及采购人指定的相关系统，质保期内所有数据通讯费用、软件升级费用由中标人承担，招标人在质保期内不承担其他任何费用。</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6、本项目免费质保期三年。</w:t>
      </w:r>
      <w:r/>
    </w:p>
    <w:p>
      <w:pPr>
        <w:pStyle w:val="88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中标人应保证在本项目使用的任何产品，不会产生因第三方提出侵犯其专利权、商标权或其它知识产权而引起的法律和经济纠纷，如因专利权、商标权或其它知识产权而引起法律和经济纠纷，由中标人承担所有责任。</w:t>
      </w: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p>
    <w:p>
      <w:pPr>
        <w:pStyle w:val="883"/>
        <w:rPr>
          <w:rFonts w:ascii="宋体" w:hAnsi="宋体" w:cs="宋体"/>
          <w:color w:val="ff0000"/>
          <w:sz w:val="28"/>
          <w:szCs w:val="28"/>
        </w:rPr>
      </w:pP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p>
    <w:p>
      <w:pPr>
        <w:pStyle w:val="883"/>
      </w:pPr>
      <w:r/>
      <w:r/>
    </w:p>
    <w:p>
      <w:pPr>
        <w:rPr>
          <w:rFonts w:ascii="宋体" w:hAnsi="宋体" w:cs="宋体"/>
          <w:color w:val="ff0000"/>
          <w:sz w:val="28"/>
          <w:szCs w:val="28"/>
        </w:rPr>
      </w:pPr>
      <w:r>
        <w:rPr>
          <w:rFonts w:ascii="宋体" w:hAnsi="宋体" w:cs="宋体"/>
          <w:color w:val="ff0000"/>
          <w:sz w:val="28"/>
          <w:szCs w:val="28"/>
        </w:rPr>
      </w:r>
      <w:r/>
    </w:p>
    <w:p>
      <w:pPr>
        <w:pStyle w:val="883"/>
        <w:rPr>
          <w:rFonts w:ascii="宋体" w:hAnsi="宋体" w:cs="宋体"/>
          <w:color w:val="ff0000"/>
          <w:sz w:val="28"/>
          <w:szCs w:val="28"/>
        </w:rPr>
      </w:pPr>
      <w:r>
        <w:rPr>
          <w:rFonts w:ascii="宋体" w:hAnsi="宋体" w:cs="宋体"/>
          <w:color w:val="ff0000"/>
          <w:sz w:val="28"/>
          <w:szCs w:val="28"/>
        </w:rPr>
      </w:r>
      <w:r/>
    </w:p>
    <w:tbl>
      <w:tblPr>
        <w:tblW w:w="514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657"/>
        <w:gridCol w:w="737"/>
        <w:gridCol w:w="6273"/>
        <w:gridCol w:w="418"/>
        <w:gridCol w:w="469"/>
      </w:tblGrid>
      <w:tr>
        <w:trPr>
          <w:trHeight w:val="430"/>
        </w:trPr>
        <w:tc>
          <w:tcPr>
            <w:gridSpan w:val="6"/>
            <w:shd w:val="clear" w:color="auto" w:fill="e7e6e6"/>
            <w:tcW w:w="5000"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采购清单</w:t>
            </w:r>
            <w:r/>
          </w:p>
        </w:tc>
      </w:tr>
      <w:tr>
        <w:trPr>
          <w:trHeight w:val="430"/>
        </w:trPr>
        <w:tc>
          <w:tcPr>
            <w:shd w:val="clear" w:color="auto" w:fill="e7e6e6"/>
            <w:tcW w:w="311"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序号</w:t>
            </w:r>
            <w:r/>
          </w:p>
        </w:tc>
        <w:tc>
          <w:tcPr>
            <w:shd w:val="clear" w:color="auto" w:fill="e7e6e6"/>
            <w:tcW w:w="360"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项目名称</w:t>
            </w:r>
            <w:r/>
          </w:p>
        </w:tc>
        <w:tc>
          <w:tcPr>
            <w:shd w:val="clear" w:color="auto" w:fill="e7e6e6"/>
            <w:tcW w:w="404"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设备名称</w:t>
            </w:r>
            <w:r/>
          </w:p>
        </w:tc>
        <w:tc>
          <w:tcPr>
            <w:shd w:val="clear" w:color="auto" w:fill="e7e6e6"/>
            <w:tcW w:w="3439"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参数</w:t>
            </w:r>
            <w:r/>
          </w:p>
        </w:tc>
        <w:tc>
          <w:tcPr>
            <w:shd w:val="clear" w:color="auto" w:fill="e7e6e6"/>
            <w:tcW w:w="229"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数量</w:t>
            </w:r>
            <w:r/>
          </w:p>
        </w:tc>
        <w:tc>
          <w:tcPr>
            <w:shd w:val="clear" w:color="auto" w:fill="e7e6e6"/>
            <w:tcW w:w="254"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单位</w:t>
            </w:r>
            <w:r/>
          </w:p>
        </w:tc>
      </w:tr>
      <w:tr>
        <w:trPr>
          <w:trHeight w:val="5638"/>
        </w:trPr>
        <w:tc>
          <w:tcPr>
            <w:shd w:val="clear" w:color="auto" w:fill="auto"/>
            <w:tcW w:w="311"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360"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监测</w:t>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监测站</w:t>
            </w:r>
            <w:r/>
          </w:p>
        </w:tc>
        <w:tc>
          <w:tcPr>
            <w:shd w:val="clear" w:color="auto" w:fill="auto"/>
            <w:tcW w:w="3439" w:type="pct"/>
            <w:vAlign w:val="center"/>
            <w:textDirection w:val="lrTb"/>
            <w:noWrap w:val="false"/>
          </w:tcPr>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土壤温湿度传感器：通过实时监测土壤温湿度情况，可以帮助种植户及时了解田间土壤墒情状况，合理施肥、灌溉，提高农作物的产量和品质。土壤湿度测量范围：0 - 100 %；土壤温度测量范围：-40 - 80 ºC。</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土壤pH值传感器：实时监测土壤pH情况，助力种植户及时了解田间土壤酸碱度状况，及时介入调控，助力农作物增产提质。量程：0~14PH；</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氮磷钾传感器：实时监测土壤氮磷钾情况，助力种植户及时了解田间土壤肥力状况，合理施肥，助力农作物增产提质。量程：0-1999mg/kg；</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管式多层土壤墒情监测仪：测量各土层温度。默认同时测量10cm（0cm-20cm）、30cm（20cm-40cm）、50cm（40cm-60cm)、80cm（60cm-100cm)土层的温度和湿度，适用于具有代表性土壤的长期不间断监测:</w:t>
            </w:r>
            <w:r>
              <w:rPr>
                <w:rFonts w:hint="eastAsia" w:ascii="宋体" w:hAnsi="宋体" w:cs="宋体"/>
                <w:sz w:val="18"/>
                <w:szCs w:val="18"/>
                <w:lang w:bidi="ar"/>
              </w:rPr>
              <w:br/>
              <w:t xml:space="preserve">4-1、土壤水分(体积含水量)测量范围:干土~水分饱和土，实验室测量精度:±3%，野外测量精度:±5%，湿度分辨率:0.1%；</w:t>
            </w:r>
            <w:r>
              <w:rPr>
                <w:rFonts w:hint="eastAsia" w:ascii="宋体" w:hAnsi="宋体" w:cs="宋体"/>
                <w:sz w:val="18"/>
                <w:szCs w:val="18"/>
                <w:lang w:bidi="ar"/>
              </w:rPr>
              <w:br/>
              <w:t xml:space="preserve">4-2、温度测量范围:-40℃~80℃，测量精度±2℃，温度分辨率:0.1°C；</w:t>
            </w:r>
            <w:r>
              <w:rPr>
                <w:rFonts w:hint="eastAsia" w:ascii="宋体" w:hAnsi="宋体" w:cs="宋体"/>
                <w:sz w:val="18"/>
                <w:szCs w:val="18"/>
                <w:lang w:bidi="ar"/>
              </w:rPr>
              <w:br/>
              <w:t xml:space="preserve">4-3、供电方式:太阳能供电;</w:t>
            </w:r>
            <w:r>
              <w:rPr>
                <w:rFonts w:hint="eastAsia" w:ascii="宋体" w:hAnsi="宋体" w:cs="宋体"/>
                <w:sz w:val="18"/>
                <w:szCs w:val="18"/>
                <w:lang w:bidi="ar"/>
              </w:rPr>
              <w:br/>
              <w:t xml:space="preserve">4-4、通讯方式:RS485通讯，MODBUS通讯协议，(波特率9600可设，地址0-255可设)；</w:t>
            </w:r>
            <w:r>
              <w:rPr>
                <w:rFonts w:hint="eastAsia" w:ascii="宋体" w:hAnsi="宋体" w:cs="宋体"/>
                <w:sz w:val="18"/>
                <w:szCs w:val="18"/>
                <w:lang w:bidi="ar"/>
              </w:rPr>
              <w:br/>
              <w:t xml:space="preserve">4-5、GPRS无线通讯。</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数据采集终端：采集模块，通过无线方式组建的局域网，将数据传输到数据采集网关位置，再由数据采集网关上传到云端，实现数据云监测。</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太阳能供电：传感器供电，太阳能板30W，电池12V9A。</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监测立杆：立杆高度1.5米，热镀锌防腐处理。</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监测柜：防水设计 300mm*250mm*150mm（含内部插座、空开等电器件）。</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混凝土地基：立杆水泥地基，含地笼。</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支架等辅材：配套安装需要的电线、套管、支架等辅材材料。</w:t>
            </w:r>
            <w:r/>
          </w:p>
          <w:p>
            <w:pPr>
              <w:jc w:val="left"/>
              <w:spacing w:line="220" w:lineRule="exact"/>
              <w:widowControl/>
              <w:rPr>
                <w:sz w:val="18"/>
                <w:szCs w:val="18"/>
              </w:rPr>
            </w:pPr>
            <w:r>
              <w:rPr>
                <w:rFonts w:hint="eastAsia" w:ascii="宋体" w:hAnsi="宋体" w:cs="宋体"/>
                <w:sz w:val="18"/>
                <w:szCs w:val="18"/>
                <w:lang w:bidi="ar"/>
              </w:rPr>
              <w:t xml:space="preserve">11、通讯模块：物联网专用卡1G/月,3年。</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套</w:t>
            </w:r>
            <w:r/>
          </w:p>
        </w:tc>
      </w:tr>
      <w:tr>
        <w:trPr>
          <w:trHeight w:val="90"/>
        </w:trPr>
        <w:tc>
          <w:tcPr>
            <w:shd w:val="clear" w:color="auto" w:fill="auto"/>
            <w:tcW w:w="311"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360"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气象监测</w:t>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农业小环境气象监测站</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1、气象七合一传感器：1-1.气象站具备IP67级别防水，12-24V DC。</w:t>
            </w:r>
            <w:r>
              <w:rPr>
                <w:rFonts w:hint="eastAsia" w:ascii="宋体" w:hAnsi="宋体" w:cs="宋体"/>
                <w:color w:val="000000" w:themeColor="text1"/>
                <w:sz w:val="18"/>
                <w:szCs w:val="18"/>
                <w:lang w:bidi="ar"/>
              </w:rPr>
              <w:br/>
              <w:t xml:space="preserve">1-2.风速：测量范围0-75 m/s，分辨率 0.1 m/s，测量精度±0.1 m/s。</w:t>
            </w:r>
            <w:r>
              <w:rPr>
                <w:rFonts w:hint="eastAsia" w:ascii="宋体" w:hAnsi="宋体" w:cs="宋体"/>
                <w:color w:val="000000" w:themeColor="text1"/>
                <w:sz w:val="18"/>
                <w:szCs w:val="18"/>
                <w:lang w:bidi="ar"/>
              </w:rPr>
              <w:br/>
              <w:t xml:space="preserve">1-3.风向：测量范围0°~ 360°，分辨率 0.1°，测量精度±1°。 </w:t>
            </w:r>
            <w:r>
              <w:rPr>
                <w:rFonts w:hint="eastAsia" w:ascii="宋体" w:hAnsi="宋体" w:cs="宋体"/>
                <w:color w:val="000000" w:themeColor="text1"/>
                <w:sz w:val="18"/>
                <w:szCs w:val="18"/>
                <w:lang w:bidi="ar"/>
              </w:rPr>
              <w:br/>
              <w:t xml:space="preserve">1-4.大气压力：测量范围 300-1250 hPa，分辨率0.1 hPa ，测量精度±1hPa 。</w:t>
            </w:r>
            <w:r>
              <w:rPr>
                <w:rFonts w:hint="eastAsia" w:ascii="宋体" w:hAnsi="宋体" w:cs="宋体"/>
                <w:color w:val="000000" w:themeColor="text1"/>
                <w:sz w:val="18"/>
                <w:szCs w:val="18"/>
                <w:lang w:bidi="ar"/>
              </w:rPr>
              <w:br/>
              <w:t xml:space="preserve">1-5.空气温度:温度范围-40°C～85℃，分辨率0.01℃ ，测量精度 ±0.1℃。</w:t>
            </w:r>
            <w:r>
              <w:rPr>
                <w:rFonts w:hint="eastAsia" w:ascii="宋体" w:hAnsi="宋体" w:cs="宋体"/>
                <w:color w:val="000000" w:themeColor="text1"/>
                <w:sz w:val="18"/>
                <w:szCs w:val="18"/>
                <w:lang w:bidi="ar"/>
              </w:rPr>
              <w:br/>
              <w:t xml:space="preserve">1-6.空气湿度:湿度测量范围0-100%RH ，分辨率0.01%RH ，测量精度±1.5%RH。</w:t>
            </w:r>
            <w:r>
              <w:rPr>
                <w:rFonts w:hint="eastAsia" w:ascii="宋体" w:hAnsi="宋体" w:cs="宋体"/>
                <w:color w:val="000000" w:themeColor="text1"/>
                <w:sz w:val="18"/>
                <w:szCs w:val="18"/>
                <w:lang w:bidi="ar"/>
              </w:rPr>
              <w:br/>
              <w:t xml:space="preserve">1-7.光照强度：测量范围0-20W Lux，分辨率1 Lux ，测量精度±2%。</w:t>
            </w:r>
            <w:r>
              <w:rPr>
                <w:rFonts w:hint="eastAsia" w:ascii="宋体" w:hAnsi="宋体" w:cs="宋体"/>
                <w:color w:val="000000" w:themeColor="text1"/>
                <w:sz w:val="18"/>
                <w:szCs w:val="18"/>
                <w:lang w:bidi="ar"/>
              </w:rPr>
              <w:br/>
              <w:t xml:space="preserve">1-8.雨量：测量范围0-9999mm，分辨率0.1mm ，测量精度±0.1mm。</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2、数据采集终端：采集模块，通过无线方式组建的局域网，将数据传输到数据采集网关位置，再由数据采集网关上传到云端，实现数据云监测。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3、设备监测箱：防水设计300mm*400mm*180mm（含内部插座、空开等电器件）。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4、专用立杆：立杆高度 3 米，热镀锌防腐处理。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5、太阳能供电：DC24V太阳能板。100A蓄电池，蓄电池盒。</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6、通讯模块：物联网专用卡1G/月,3年。</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701" w:hRule="exact"/>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现场数据展示屏</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室外大田数据显示屏</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输出信号：RS485(标准ModBus通讯协议)。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显示屏尺寸：1.05米*0.57米。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规格：320*160模组，单块分辨率32*16。</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分辨率：整屏分辨率96*48。</w:t>
            </w:r>
            <w:r/>
          </w:p>
          <w:p>
            <w:pPr>
              <w:jc w:val="left"/>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r>
      <w:tr>
        <w:trPr>
          <w:trHeight w:val="7941"/>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5G智能无人巡田眼</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固定高清鹰眼摄像头</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1600万180°鹰眼_400万40倍_卫星定位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 无盲区球型鹰眼，全景采用4个F1.0大光圈全彩镜头拼接而成，可输出180°大场景拼接画面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全景画面可支持关注区域畸变矫正，细节内置40倍变焦镜头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全景智能：Smart事件、人员密度、车辆拥堵；细节智能：全结构化、Smart事件、普通监控（高帧率）；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1、全景摄像机 4个1/1.8＂ 4MP Progressive Scan CMOS，最高分辨率及帧率可达6072x2640@30fps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视场角：水平180°，垂直110°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星光级超低照度，0.0005Lux/F1.0（彩色），0.0001Lux/F1.0（黑白）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2、细节摄像机 1/1.8＂ 4MP Progressive Scan CMOS，最高分辨率及帧率可达2688x1520@30fps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40倍光学变倍，16倍数字变倍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水平360°连续旋转，垂直-15°-90°（自动翻转）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采用高效红外阵列，低功耗，照射距离最远可达300m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【全景】支持人员密度检测功能，检测覆盖范围半径100米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【全景】支持车辆拥堵检测功能，检测覆盖范围半径150米，推荐：在封闭式道路中可以做拥堵事件检测，推荐在高速、环线、快速路或者主干线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【细节】支持全结构化：支持细节路混合目标检测，对检测区域内的人、非机动车、车进行同时抓拍上传，人脸人体关联输出，并实现对人脸、人体、车辆结构化属性特征信息提取</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支持点击联动功能，通过在客户端点击或者框选全景摄像机画面任意位置，细节跟踪摄像机可自动通过云台调整与变焦，将该区域置于画面中心。</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支持目标自动跟踪功能，通过设置智能事件规则，对设定区域内触发事件的运动目标在设定的跟踪时间内进行持续稳定跟踪。并可在跟踪过程中手动切换跟踪目标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支持手动选择跟踪目标，在设定跟踪时间内进行持续稳定跟踪</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光口（FC）+电口(RJ-45)网络接口设计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支持GB35114A级安全加密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AI-ISP：细节球机采用去噪卷积神经网络将深度结构、学习算法用于图像去噪，最终使画面成像更新清晰，噪点更小图像更干净</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支持北斗卫星定位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传感器类型：【全景】1/1.8＂ progressive scan CMOS,【细节】1/1.8＂ progressive scan CMOS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最低照度：【全景】0.0005Lux/F1.0（彩色），0.0001Lux/F1.0（黑白）；【细节】星光级超低照度，0.0005Lux/F1.2（彩色），0.0001Lux/F1.2（黑白），0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宽动态：全景不支持，细节支持120dB超宽动态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光学变倍：40倍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焦距：【全景】2 mm；【细节】6~240 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视场角：水平视场角</w:t>
            </w:r>
            <w:r>
              <w:rPr>
                <w:rFonts w:hint="eastAsia" w:ascii="宋体" w:hAnsi="宋体" w:cs="宋体"/>
                <w:sz w:val="18"/>
                <w:szCs w:val="18"/>
                <w:lang w:bidi="ar"/>
              </w:rPr>
              <w:tab/>
              <w:t xml:space="preserve">56.6-1.8度(广角-望远)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垂直视场角</w:t>
            </w:r>
            <w:r>
              <w:rPr>
                <w:rFonts w:hint="eastAsia" w:ascii="宋体" w:hAnsi="宋体" w:cs="宋体"/>
                <w:sz w:val="18"/>
                <w:szCs w:val="18"/>
                <w:lang w:bidi="ar"/>
              </w:rPr>
              <w:tab/>
              <w:t xml:space="preserve">33.7-1.0度(广角-望远)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对角线视场角</w:t>
            </w:r>
            <w:r>
              <w:rPr>
                <w:rFonts w:hint="eastAsia" w:ascii="宋体" w:hAnsi="宋体" w:cs="宋体"/>
                <w:sz w:val="18"/>
                <w:szCs w:val="18"/>
                <w:lang w:bidi="ar"/>
              </w:rPr>
              <w:tab/>
              <w:t xml:space="preserve">63.4-2.0度(广角-望远)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红外照射距离：300m  防补光过曝：支持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水平范围：360°垂直范围：-15°-90°(自动翻转)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水平速度：水平键控速度：0.1°-500°/s,速度可设;水平预置点速度：500°/s 垂直速度：垂直键控速度：0.1°-350°/s,速度可设;垂直预置点速度：350°/s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主码流帧率分辨率：全景：50Hz: 25fps (6072x2640,5520×2400, 4096×1800,3840×1680, 2784×1200) 60Hz: 30fps (6072x2640，5520×2400, 4096×1800，3840×1680, 2784×1200)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细节：50Hz:25fps (2688x1520，2560x1440,1920×1080,1280×960,1280x720) 60Hz:30fps （2688x1520，2560x1440,1920x1080,1280x960,1280x720)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视频压缩标准：H.265;H.264;MJPEG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卫星定位：支持北斗卫星定位 陀螺仪：支持 电子罗盘：支持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网络接口：RJ45网口;自适应10M/100M/1000M网络数据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光纤接口：FC接口;内置光纤模块;波长TX1310/RX1550nm;20km传输距离;单模单纤;1000M网络数据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SD卡扩展：内置Micro SD卡插槽，支持Micro SD/Micro SDHC/Micro SDXC卡（最大支持512G）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报警：7路报警输入，2路报警输出 音频：1路音频输入，1路音频输出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RS485接口：采用半双工模式，支持自适应HIKVISION，PELCO-P和PELCO-D(可添加)协议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供电方式：DC36V；  整机平均功耗75w.最大功耗 90w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工作温湿度：-40℃-70℃;湿度小于90%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恢复出厂设置：支持 除雾：支持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尺寸：Φ427.6x425.9mm 重量：净重 14.6kg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防护：IP67; 6000V 防雷、防浪涌、防突波，符合GB/T17626.2/3/4/5/6四级标准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▲全景通道最高分辨率不小于6072 x 2640，细节通道最高分辨率不小于2688 × 1520。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▲全景通道内置4个镜头、靶面尺寸不小于1/1.8英寸的CMOS传感器，细节通道内置1个镜头，靶面尺寸不小于1/1.8英寸的CMOS传感器。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▲设备在全景拼接模式下，垂直视场角不小于110°，水平视场角不小于180°。可将4个全景视频图像进行拼接，实现不小于180°拼接画面显示，并抓拍拼接后的图片。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注：带▲号条款须提供公安部出具的检验报告证明原件扫描件。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附件及辅材：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专用支架：鹰眼高清摄像机专用支架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硬盘录像机：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存储接口：5个SATA接口，支持满配20TB硬盘；</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视频接口：2×HDMI，1×VGA。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网络接口：2×RJ45 10/100/1000Mbps自适应以太网口</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报警接口：16路报警输入，4路报警输出。</w:t>
            </w:r>
            <w:r>
              <w:rPr>
                <w:rFonts w:hint="eastAsia" w:ascii="宋体" w:hAnsi="宋体" w:cs="宋体"/>
                <w:sz w:val="18"/>
                <w:szCs w:val="18"/>
                <w:lang w:bidi="ar"/>
              </w:rPr>
              <w:br/>
              <w:t xml:space="preserve">反向供电：1路DC12V 1A</w:t>
            </w:r>
            <w:r>
              <w:rPr>
                <w:rFonts w:hint="eastAsia" w:ascii="宋体" w:hAnsi="宋体" w:cs="宋体"/>
                <w:sz w:val="18"/>
                <w:szCs w:val="18"/>
                <w:lang w:bidi="ar"/>
              </w:rPr>
              <w:br/>
              <w:t xml:space="preserve">串行接口：1路RS-232接口，1路全双工RS-485接口</w:t>
            </w:r>
            <w:r>
              <w:rPr>
                <w:rFonts w:hint="eastAsia" w:ascii="宋体" w:hAnsi="宋体" w:cs="宋体"/>
                <w:sz w:val="18"/>
                <w:szCs w:val="18"/>
                <w:lang w:bidi="ar"/>
              </w:rPr>
              <w:br/>
              <w:t xml:space="preserve">USB接口：2×USB 2.0，1×USB 3.0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硬盘：8T数据硬盘；交换机：5口千兆交换机；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立杆：立杆，高度9米，主杆板厚8mm；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混凝土基础：立杆水泥地基，含地笼等预埋件，C25混凝土。</w:t>
            </w:r>
            <w:r/>
          </w:p>
          <w:p>
            <w:pPr>
              <w:jc w:val="left"/>
              <w:spacing w:line="220" w:lineRule="exact"/>
              <w:widowControl/>
              <w:rPr>
                <w:sz w:val="18"/>
                <w:szCs w:val="18"/>
              </w:rPr>
            </w:pPr>
            <w:r>
              <w:rPr>
                <w:rFonts w:hint="eastAsia" w:ascii="宋体" w:hAnsi="宋体" w:cs="宋体"/>
                <w:sz w:val="18"/>
                <w:szCs w:val="18"/>
                <w:lang w:bidi="ar"/>
              </w:rPr>
              <w:t xml:space="preserve">熔纤盒（含尾纤）；千兆光纤收发器；室外4星光纤。 </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4945"/>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农情、苗情监测站</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智能高速球型摄像机</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400万像素红外网络高清球机， 支持4G（移动、联通，电信）网络传输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支持1/2.8" 400万23倍光学变焦镜头，采用高效补光阵列，低功耗，红外补光100m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适用于农田、森林，河道、水库、矿区、野外等场景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可对镜头前盖玻璃进行加热，去除玻璃上的冰状和水状附着物。</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支持超低照度，0.005 Lux @F1.6（彩色），0.001 Lux @F1.6（黑白），0 Lux with IR</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配件：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球机专用立杆：高度 5 米，热镀锌防腐处理。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 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太阳能板：传感器供电，太阳能板50W。储能电池：100A蓄电池。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存储卡：256G视频存储卡。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视频流量卡：10G/月，3年。</w:t>
            </w:r>
            <w:r/>
          </w:p>
          <w:p>
            <w:pPr>
              <w:jc w:val="left"/>
              <w:spacing w:line="220" w:lineRule="exact"/>
              <w:widowControl/>
              <w:rPr>
                <w:sz w:val="18"/>
                <w:szCs w:val="18"/>
              </w:rPr>
            </w:pPr>
            <w:r>
              <w:rPr>
                <w:rFonts w:hint="eastAsia" w:ascii="宋体" w:hAnsi="宋体" w:cs="宋体"/>
                <w:sz w:val="18"/>
                <w:szCs w:val="18"/>
                <w:lang w:bidi="ar"/>
              </w:rPr>
              <w:t xml:space="preserve">基础设施：水泥地基，含地笼等预埋件，尺寸：80cm*60cm*60cm；C25混凝土。配套管线等辅材。</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color w:val="000000" w:themeColor="text1"/>
                <w:sz w:val="18"/>
                <w:szCs w:val="18"/>
                <w:lang w:bidi="ar"/>
              </w:rPr>
              <w:t xml:space="preserve">22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4945"/>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p>
            <w:pPr>
              <w:pStyle w:val="883"/>
              <w:jc w:val="center"/>
              <w:rPr>
                <w:color w:val="auto"/>
                <w:sz w:val="18"/>
                <w:szCs w:val="18"/>
              </w:rPr>
            </w:pPr>
            <w:r>
              <w:rPr>
                <w:rFonts w:hint="eastAsia"/>
                <w:color w:val="auto"/>
                <w:sz w:val="18"/>
                <w:szCs w:val="18"/>
              </w:rPr>
              <w:t xml:space="preserve">6</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农业遥感无人机（含机巢及数据分析管理系统）</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集成1个2000万像素可见光相机及4个500万像素的多光谱相机(绿光、红光，红边及近红外)，实现自动巡田，作物生长检测等应用。</w:t>
            </w:r>
            <w:r/>
          </w:p>
          <w:p>
            <w:pPr>
              <w:jc w:val="left"/>
              <w:spacing w:line="220" w:lineRule="exact"/>
              <w:widowControl/>
              <w:rPr>
                <w:rFonts w:ascii="宋体" w:hAnsi="宋体" w:cs="宋体"/>
                <w:sz w:val="18"/>
                <w:szCs w:val="18"/>
              </w:rPr>
            </w:pPr>
            <w:r>
              <w:rPr>
                <w:rFonts w:hint="eastAsia" w:ascii="宋体" w:hAnsi="宋体" w:cs="宋体"/>
                <w:sz w:val="18"/>
                <w:szCs w:val="18"/>
              </w:rPr>
              <w:t xml:space="preserve">1 、飞行器</w:t>
            </w:r>
            <w:r/>
          </w:p>
          <w:p>
            <w:pPr>
              <w:jc w:val="left"/>
              <w:spacing w:line="220" w:lineRule="exact"/>
              <w:widowControl/>
              <w:rPr>
                <w:rFonts w:ascii="宋体" w:hAnsi="宋体" w:cs="宋体"/>
                <w:sz w:val="18"/>
                <w:szCs w:val="18"/>
              </w:rPr>
            </w:pPr>
            <w:r>
              <w:rPr>
                <w:rFonts w:hint="eastAsia" w:ascii="宋体" w:hAnsi="宋体" w:cs="宋体"/>
                <w:sz w:val="18"/>
                <w:szCs w:val="18"/>
              </w:rPr>
              <w:t xml:space="preserve">起飞重量（无配件）：≤1000g；折叠后尺寸（长×宽×高）：≤225×100×130mm；对角线轴距：≥380 mm；最大信号有效距离（无干扰、无遮挡）：≥15km；最长飞行时间：≥40 分钟；最大可抗风速：≥12m/s；</w:t>
            </w:r>
            <w:r/>
          </w:p>
          <w:p>
            <w:pPr>
              <w:jc w:val="left"/>
              <w:spacing w:line="220" w:lineRule="exact"/>
              <w:widowControl/>
              <w:rPr>
                <w:rFonts w:ascii="宋体" w:hAnsi="宋体" w:cs="宋体"/>
                <w:sz w:val="18"/>
                <w:szCs w:val="18"/>
              </w:rPr>
            </w:pPr>
            <w:r>
              <w:rPr>
                <w:rFonts w:hint="eastAsia" w:ascii="宋体" w:hAnsi="宋体" w:cs="宋体"/>
                <w:sz w:val="18"/>
                <w:szCs w:val="18"/>
              </w:rPr>
              <w:t xml:space="preserve">全向感知系统：飞行器的前、后、左、右、上、下均具备视觉或红外避障传感器，能够在探测到障碍物时在App上进行提醒，并自动减速刹车；</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GNSS：支持GPS+GLONASS+BEIDOU，支持单北斗模式；</w:t>
            </w:r>
            <w:r/>
          </w:p>
          <w:p>
            <w:pPr>
              <w:jc w:val="left"/>
              <w:spacing w:line="220" w:lineRule="exact"/>
              <w:widowControl/>
              <w:rPr>
                <w:rFonts w:ascii="宋体" w:hAnsi="宋体" w:cs="宋体"/>
                <w:sz w:val="18"/>
                <w:szCs w:val="18"/>
              </w:rPr>
            </w:pPr>
            <w:r>
              <w:rPr>
                <w:rFonts w:hint="eastAsia" w:ascii="宋体" w:hAnsi="宋体" w:cs="宋体"/>
                <w:sz w:val="18"/>
                <w:szCs w:val="18"/>
              </w:rPr>
              <w:t xml:space="preserve">工作环境温度：工作温度范围覆盖-10°C 至 40°C；</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GNSS定位悬停精度：垂直≤0.5 m，水平≤0.5 m；</w:t>
            </w:r>
            <w:r/>
          </w:p>
          <w:p>
            <w:pPr>
              <w:jc w:val="left"/>
              <w:spacing w:line="220" w:lineRule="exact"/>
              <w:widowControl/>
              <w:rPr>
                <w:rFonts w:ascii="宋体" w:hAnsi="宋体" w:cs="宋体"/>
                <w:sz w:val="18"/>
                <w:szCs w:val="18"/>
              </w:rPr>
            </w:pPr>
            <w:r>
              <w:rPr>
                <w:rFonts w:hint="eastAsia" w:ascii="宋体" w:hAnsi="宋体" w:cs="宋体"/>
                <w:sz w:val="18"/>
                <w:szCs w:val="18"/>
              </w:rPr>
              <w:t xml:space="preserve">视觉定位悬停精度：垂直≤0.1 m，水平≤0.1 m；</w:t>
            </w:r>
            <w:r/>
          </w:p>
          <w:p>
            <w:pPr>
              <w:jc w:val="left"/>
              <w:spacing w:line="220" w:lineRule="exact"/>
              <w:widowControl/>
              <w:rPr>
                <w:rFonts w:ascii="宋体" w:hAnsi="宋体" w:cs="宋体"/>
                <w:sz w:val="18"/>
                <w:szCs w:val="18"/>
              </w:rPr>
            </w:pPr>
            <w:r>
              <w:rPr>
                <w:rFonts w:hint="eastAsia" w:ascii="宋体" w:hAnsi="宋体" w:cs="宋体"/>
                <w:sz w:val="18"/>
                <w:szCs w:val="18"/>
              </w:rPr>
              <w:t xml:space="preserve">展开时间：从携行状态到起飞状态的展开时间≤30s；</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最大上升速度：≥6 m/s；最大下降速度：≥6 m/s ；</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最大水平飞行速度：≥15m/s；最大飞行海拔高度：≥6000 米；</w:t>
            </w:r>
            <w:r/>
          </w:p>
          <w:p>
            <w:pPr>
              <w:jc w:val="left"/>
              <w:spacing w:line="220" w:lineRule="exact"/>
              <w:widowControl/>
              <w:rPr>
                <w:rFonts w:ascii="宋体" w:hAnsi="宋体" w:cs="宋体"/>
                <w:sz w:val="18"/>
                <w:szCs w:val="18"/>
              </w:rPr>
            </w:pPr>
            <w:r>
              <w:rPr>
                <w:rFonts w:hint="eastAsia" w:ascii="宋体" w:hAnsi="宋体" w:cs="宋体"/>
                <w:sz w:val="18"/>
                <w:szCs w:val="18"/>
              </w:rPr>
              <w:t xml:space="preserve">降落保护：在自主降落过程中，无人机飞行器能够检测下方地形.当下方地形为不平整地面或水面，飞行器保持悬停，同时通过地面站软件向用户发出警示信息；</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具备飞行器自检功能；具备低电量自动返航功能；具备信号丢失自动返航功能。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2 、可见光相机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可见光相机CMOS：具备可见光测绘相机，相机CMOS不低于4/3英寸；</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可见光相机像素：有效像素不低于2000万；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可见光相机像元尺寸：像元尺寸不小于3.3um；</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可见光相机机械快门：相机具有机械快门；</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可见光相机连续拍照间隔：最短连续拍照间隔不低于0.7秒；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可见光相机内参标定：提供内参标定参数。</w:t>
            </w:r>
            <w:r/>
          </w:p>
          <w:p>
            <w:pPr>
              <w:jc w:val="left"/>
              <w:spacing w:line="220" w:lineRule="exact"/>
              <w:widowControl/>
              <w:rPr>
                <w:rFonts w:ascii="宋体" w:hAnsi="宋体" w:cs="宋体"/>
                <w:sz w:val="18"/>
                <w:szCs w:val="18"/>
              </w:rPr>
            </w:pPr>
            <w:r>
              <w:rPr>
                <w:rFonts w:hint="eastAsia" w:ascii="宋体" w:hAnsi="宋体" w:cs="宋体"/>
                <w:sz w:val="18"/>
                <w:szCs w:val="18"/>
              </w:rPr>
              <w:t xml:space="preserve">3 、多光谱相机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多光谱相机：除可见光相机外，应具备绿、红、红边、近红外多光谱相机；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多光谱相机有效像素：多光谱相机有效像素不低于500万；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绿波段多光谱相机波段范围：绿波段多光谱相机波段在560nm±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红波段多光谱相机波段范围：红波段多光谱相机波段在650nm±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红边波段多光谱相机波段范围：红边波段多光谱相机波段在730nm±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近红外波段多光谱相机波段范围：近红外波段多光谱相机波段在860nm±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4 、航线软件功能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航线功能：支持航点、正射、倾斜、航带、仿地等多种航线作业类型；</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实时仿地：无人机可实现自主实时仿地；</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实时NDVI：支持实时NDVI植被指数查看；</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可见光测绘：可单独使用可见光相机进行测绘作业；</w:t>
            </w:r>
            <w:r/>
          </w:p>
          <w:p>
            <w:pPr>
              <w:jc w:val="left"/>
              <w:spacing w:line="220" w:lineRule="exact"/>
              <w:widowControl/>
              <w:rPr>
                <w:rFonts w:ascii="宋体" w:hAnsi="宋体" w:cs="宋体"/>
                <w:sz w:val="18"/>
                <w:szCs w:val="18"/>
              </w:rPr>
            </w:pPr>
            <w:r>
              <w:rPr>
                <w:rFonts w:hint="eastAsia" w:ascii="宋体" w:hAnsi="宋体" w:cs="宋体"/>
                <w:sz w:val="18"/>
                <w:szCs w:val="18"/>
              </w:rPr>
              <w:t xml:space="preserve">密码保护:支持通过密码保护无人机机身存储的图像视频数据；</w:t>
            </w:r>
            <w:r/>
          </w:p>
          <w:p>
            <w:pPr>
              <w:jc w:val="left"/>
              <w:spacing w:line="220" w:lineRule="exact"/>
              <w:widowControl/>
              <w:rPr>
                <w:rFonts w:ascii="宋体" w:hAnsi="宋体" w:cs="宋体"/>
                <w:sz w:val="18"/>
                <w:szCs w:val="18"/>
              </w:rPr>
            </w:pPr>
            <w:r>
              <w:rPr>
                <w:rFonts w:hint="eastAsia" w:ascii="宋体" w:hAnsi="宋体" w:cs="宋体"/>
                <w:sz w:val="18"/>
                <w:szCs w:val="18"/>
              </w:rPr>
              <w:t xml:space="preserve">5、图传：工作频段：支持2.4G、5.8G图传；4G增强图传：支持4G dongle。</w:t>
            </w:r>
            <w:r/>
          </w:p>
          <w:p>
            <w:pPr>
              <w:jc w:val="left"/>
              <w:spacing w:line="220" w:lineRule="exact"/>
              <w:widowControl/>
              <w:rPr>
                <w:rFonts w:ascii="宋体" w:hAnsi="宋体" w:cs="宋体"/>
                <w:sz w:val="18"/>
                <w:szCs w:val="18"/>
              </w:rPr>
            </w:pPr>
            <w:r>
              <w:rPr>
                <w:rFonts w:hint="eastAsia" w:ascii="宋体" w:hAnsi="宋体" w:cs="宋体"/>
                <w:sz w:val="18"/>
                <w:szCs w:val="18"/>
              </w:rPr>
              <w:t xml:space="preserve">6、堵转保护：正在空转的电机被堵转后，1 秒内驱动器应切入保护状态，将电流降低到安全电流内。整个过程中驱动器应保证超过安全电流的时间总和不超过 0.2 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7、温升：产品在正常工作条件下，其外壳温度不应超过 65℃，机内发热部件连续工作4h 后，其温升不应超过该部件的规定。</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8、高温储存：样品状态：不通电，不包装； 试验温度：(45±2)℃ ；试验时间：8h ；恢复时间：1h ；试验后，设备能稳定工作，各模块无工作异常。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9、高温工作：样品状态：通电工作；试验温度：(40±2)℃ ；试验时间：12h ；恢复时间：1h；试验中和试验后，设备能稳定工作，各模块无工作异常。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10、低温储存：样品状态：不通电，不包装；试验温度：(10±2)℃ ；试验时间：8h；恢复时间：1h；试验后，设备能稳定工作，各模块无工工作异常。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12、无人机设备包含3年保险。</w:t>
            </w:r>
            <w:r/>
          </w:p>
          <w:p>
            <w:pPr>
              <w:pStyle w:val="904"/>
              <w:ind w:firstLine="0"/>
              <w:spacing w:line="220" w:lineRule="exact"/>
              <w:widowControl/>
              <w:rPr>
                <w:rFonts w:eastAsia="宋体" w:cs="宋体"/>
                <w:sz w:val="18"/>
                <w:szCs w:val="18"/>
              </w:rPr>
            </w:pPr>
            <w:r>
              <w:rPr>
                <w:rFonts w:hint="eastAsia" w:eastAsia="宋体" w:cs="宋体"/>
                <w:sz w:val="18"/>
                <w:szCs w:val="18"/>
              </w:rPr>
              <w:t xml:space="preserve">注：</w:t>
            </w:r>
            <w:r>
              <w:rPr>
                <w:rFonts w:hint="eastAsia" w:eastAsia="宋体" w:cs="宋体"/>
                <w:sz w:val="18"/>
                <w:szCs w:val="18"/>
              </w:rPr>
              <w:t xml:space="preserve">带▲号条款须提供具有CNAS或CMA标识的产品检测报告原件扫描件。</w:t>
            </w:r>
            <w:r/>
          </w:p>
        </w:tc>
        <w:tc>
          <w:tcPr>
            <w:shd w:val="clear" w:color="auto" w:fill="auto"/>
            <w:tcW w:w="229"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2746"/>
        </w:trPr>
        <w:tc>
          <w:tcPr>
            <w:shd w:val="clear" w:color="auto" w:fill="auto"/>
            <w:tcW w:w="311" w:type="pct"/>
            <w:vAlign w:val="center"/>
            <w:vMerge w:val="restart"/>
            <w:textDirection w:val="lrTb"/>
            <w:noWrap/>
          </w:tcPr>
          <w:p>
            <w:pPr>
              <w:pStyle w:val="883"/>
              <w:rPr>
                <w:color w:val="000000" w:themeColor="text1"/>
                <w:sz w:val="18"/>
                <w:szCs w:val="18"/>
              </w:rPr>
            </w:pPr>
            <w:r>
              <w:rPr>
                <w:color w:val="000000" w:themeColor="text1"/>
                <w:sz w:val="18"/>
                <w:szCs w:val="18"/>
              </w:rPr>
            </w:r>
            <w:r/>
          </w:p>
        </w:tc>
        <w:tc>
          <w:tcPr>
            <w:shd w:val="clear" w:color="auto" w:fill="auto"/>
            <w:tcW w:w="360" w:type="pct"/>
            <w:vAlign w:val="center"/>
            <w:vMerge w:val="restart"/>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无人值守机场（机巢）</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1.功能：支持无人机自动起降、自主充电；航拍数据自动回传：支持7×24小时无人值守作业；</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2.尺寸：≥640mm×745mm×465 mm；重量:≥55kg；电源：220V市电；</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3.气象监测指标：空气温度、空气湿度、雨量、风速；</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▲4.工作环境：-40℃至55℃（提供具有CMA标识的检测报告原件扫描件）；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▲5.防护等级：≥IP55（提供具有CMA标识的检测报告原件扫描件）；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▲6.机库同步具备气象参数数据采集功能，同时支持自定义云设置（提供具有CMA标识的检测报告原件扫描件）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7.图传延时：≤2.0秒；</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8.机场控制与数据管理需支持接入苏农云平台；</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▲9.数据传输：支持可见光、多光谱4波段（绿/红/红边/近红外）航拍图像远程自主回传。（需要提供系统截图并加盖投标人公章）</w:t>
            </w:r>
            <w:r/>
          </w:p>
        </w:tc>
        <w:tc>
          <w:tcPr>
            <w:shd w:val="clear" w:color="auto" w:fill="auto"/>
            <w:tcW w:w="229"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708"/>
        </w:trPr>
        <w:tc>
          <w:tcPr>
            <w:shd w:val="clear" w:color="auto" w:fill="auto"/>
            <w:tcW w:w="311" w:type="pct"/>
            <w:vAlign w:val="center"/>
            <w:vMerge w:val="continue"/>
            <w:textDirection w:val="lrTb"/>
            <w:noWrap/>
          </w:tcPr>
          <w:p>
            <w:pPr>
              <w:pStyle w:val="883"/>
              <w:rPr>
                <w:color w:val="000000" w:themeColor="text1"/>
                <w:sz w:val="18"/>
                <w:szCs w:val="18"/>
              </w:rPr>
            </w:pPr>
            <w:r>
              <w:rPr>
                <w:color w:val="000000" w:themeColor="text1"/>
                <w:sz w:val="18"/>
                <w:szCs w:val="18"/>
              </w:rPr>
            </w:r>
            <w:r/>
          </w:p>
        </w:tc>
        <w:tc>
          <w:tcPr>
            <w:shd w:val="clear" w:color="auto" w:fill="auto"/>
            <w:tcW w:w="360" w:type="pct"/>
            <w:vAlign w:val="center"/>
            <w:vMerge w:val="continue"/>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无人机智能巡田飞控分析软件服务</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1.终端设备管理：机巢与无人机设备信息维护；机巢及飞机位置（经纬度）、状态显示；飞行情况统计；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2.飞行控制管理：飞行控制（一键起飞或进仓/出仓等指令）；无人机航线规划；巡飞定时任务计划管理；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3.飞行记录管理：飞行任务列表；飞行轨迹回溯；无人机实时状态（速度、高度、时长、风力、充电状态）；无人机及机巢实时影像（舱内、舱外）；航拍图片查看；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4.影像拼接制图：可见光、NDVI正射影像制图；</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5.农情分析：农情分析结果查看；农情分析报告下载；综合决策建议；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6.基础配置管理：设备信息维护，地块信息维护，算法库配置；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7.算法包含：长势、倒伏、苗情、产量等四种专业算法模型和处方；</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支持飞行控制、航线规划、图像拼接、农情（长势、苗情、产量、倒伏等）分析等功能在同一平台内，并实现数据与省级管控平台（“苏农云”）实现接口级对接；（提供承诺函和系统截图并加盖投标人公章）</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▲9.提供智能巡田分析系统、无人机机场操控平台等与本项目建设内容相关的软件著作权证书原件扫描件。</w:t>
            </w:r>
            <w:r/>
          </w:p>
        </w:tc>
        <w:tc>
          <w:tcPr>
            <w:shd w:val="clear" w:color="auto" w:fill="auto"/>
            <w:tcW w:w="229"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491"/>
        </w:trPr>
        <w:tc>
          <w:tcPr>
            <w:shd w:val="clear" w:color="auto" w:fill="auto"/>
            <w:tcW w:w="311" w:type="pct"/>
            <w:vAlign w:val="center"/>
            <w:textDirection w:val="lrTb"/>
            <w:noWrap/>
          </w:tcPr>
          <w:p>
            <w:pPr>
              <w:pStyle w:val="883"/>
              <w:jc w:val="center"/>
              <w:rPr>
                <w:color w:val="auto"/>
                <w:sz w:val="18"/>
                <w:szCs w:val="18"/>
              </w:rPr>
            </w:pPr>
            <w:r>
              <w:rPr>
                <w:rFonts w:hint="eastAsia"/>
                <w:color w:val="auto"/>
                <w:sz w:val="18"/>
                <w:szCs w:val="18"/>
              </w:rPr>
              <w:t xml:space="preserve">7</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农作处方应用</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水稻、小麦模型算法及生产处方</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依据无人机/卫星遥感诊断结果、作物长势监测数据以及土壤养分分布信息，结合水稻模型和小麦模型，在作物生长的各个生长关键期，形成各个田块的处方设计图，包括施肥处方图、灌溉处方图及施药处方图。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1、采用大数据AI算法，由传感器监测感知空气、土壤、植物本体数据，融合deepseek等大语言模型，提供水稻小麦大田种植各阶段管理建议。</w:t>
            </w:r>
            <w:r>
              <w:rPr>
                <w:rFonts w:hint="eastAsia" w:ascii="宋体" w:hAnsi="宋体" w:cs="宋体"/>
                <w:sz w:val="18"/>
                <w:szCs w:val="18"/>
                <w:lang w:bidi="ar"/>
              </w:rPr>
              <w:br/>
              <w:t xml:space="preserve">2、采用大数据算法和专家系统相结合，为水稻小麦提供精准生长调控模型。</w:t>
            </w:r>
            <w:r>
              <w:rPr>
                <w:rFonts w:hint="eastAsia" w:ascii="宋体" w:hAnsi="宋体" w:cs="宋体"/>
                <w:sz w:val="18"/>
                <w:szCs w:val="18"/>
                <w:lang w:bidi="ar"/>
              </w:rPr>
              <w:br/>
              <w:t xml:space="preserve">3、融合水稻、小麦专家知识库，提升模型准确度。</w:t>
            </w:r>
            <w:r/>
          </w:p>
          <w:p>
            <w:pPr>
              <w:jc w:val="left"/>
              <w:spacing w:line="220" w:lineRule="exact"/>
              <w:widowControl/>
              <w:rPr>
                <w:rFonts w:ascii="宋体" w:hAnsi="宋体" w:cs="宋体"/>
                <w:sz w:val="18"/>
                <w:szCs w:val="18"/>
              </w:rPr>
            </w:pPr>
            <w:r>
              <w:rPr>
                <w:rFonts w:hint="eastAsia" w:ascii="宋体" w:hAnsi="宋体" w:cs="宋体"/>
                <w:sz w:val="18"/>
                <w:szCs w:val="18"/>
              </w:rPr>
              <w:t xml:space="preserve">▲4、可根据不同作物的环境特性，设定适宜的预警阈值，数据异常情况将自动提醒相关农事管理者。（提供具有检测资质的机构出具的带有CNAS标识的产品检测报告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▲5、可展示不同时间段作物生长过程，进行年度生长过程对比，反映作物持续生长的差异性。（提供具有检测资质的机构出具的带有CNAS标识的产品检测报告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numPr>
                <w:ilvl w:val="0"/>
                <w:numId w:val="5"/>
              </w:numPr>
              <w:jc w:val="left"/>
              <w:spacing w:line="220" w:lineRule="exact"/>
              <w:widowControl/>
              <w:rPr>
                <w:sz w:val="18"/>
                <w:szCs w:val="18"/>
              </w:rPr>
            </w:pPr>
            <w:r>
              <w:rPr>
                <w:rFonts w:hint="eastAsia" w:ascii="宋体" w:hAnsi="宋体" w:cs="宋体"/>
                <w:sz w:val="18"/>
                <w:szCs w:val="18"/>
                <w:lang w:bidi="ar"/>
              </w:rPr>
              <w:t xml:space="preserve">提供覆盖泰兴全域的每茬稻麦作物的长势监测（卫星遥感），3年。</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83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8</w:t>
            </w:r>
            <w:r/>
          </w:p>
        </w:tc>
        <w:tc>
          <w:tcPr>
            <w:shd w:val="clear" w:color="auto" w:fill="auto"/>
            <w:tcW w:w="360" w:type="pct"/>
            <w:vAlign w:val="center"/>
            <w:vMerge w:val="restart"/>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智能虫情测报灯</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2、整体结构采用不锈钢，采用光、电、数控技术，远程自动控制及识别计数。具漏电保护、避雷和防雨装置，雨虫分离技术，有防雨百叶，下雨天可以正常工作，正常捕虫，集虫器内不积水；</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w:t>
            </w:r>
            <w:r>
              <w:rPr>
                <w:rFonts w:hint="eastAsia" w:ascii="宋体" w:hAnsi="宋体" w:cs="宋体"/>
                <w:color w:val="000000" w:themeColor="text1"/>
                <w:sz w:val="18"/>
                <w:szCs w:val="18"/>
                <w:lang w:bidi="ar"/>
              </w:rPr>
              <w:t xml:space="preserve">种常见害虫，识别准确率≥91%，对一二类农作物病虫害名录中趋光性害虫的单种类识别计数准确率≥96%；（提供具有检测资质的机构出具的带有CNAS或CMA标识的检测报告原件扫描件）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6、摄像头:≥2500W工业相机，显示屏:&gt;7寸电容式触摸屏，系统:≥Android4.0；苗情球机监控：≥400W；</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对拍完照的虫子，需要保留标本的留在储存仓内，可分天存储7天以上，人工定期去收集,对于不需要标本的，虫子直接排出机器外部，避免人工去现场维护；（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9、虫体处理，仓温度 85士5℃，烘干时间≤5 分钟虫体处理致死率100%，虫体完整率100%；（提供具有检测资质的机构出具的带有CNAS或CMA标识的检测报告原件扫描件）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10、光源:20W黑光灯;波长:320~680nm，撞击屏长≥590mm，宽≥210mm，厚≥5mm，三块撞击屏角度为120°；</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▲11、采集数据实现自动远程传输，并可按要求接入国家级、省级、市级、县级和当地相关农作物有害生物监控信息系统；（提供具有检测资质的机构出具的带有CNAS或CMA标识的检测报告原件扫描件）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12、自动清洁：定期自动清理撞击屏上的蜘蛛网，可远程实现一键远程辅助清虫，减少人工维护频率；</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14、产品的L/N到接地的金属外壳之间能经受1500V(交流有效值)，其电源频率50Hz,历时lmin的耐压试验，无飞弧击穿现象。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15、支持查看设备拍摄区作物识别（水稻、小麦）、生育期识别及给出预测下一生育期时间；支持查看设备环境传感器数据；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16、含气象传感器，可监测空气温湿度传感器、雨量等指标，可提供虫情发生量与气象关系的比较分析，提供当前生育期重大虫害捕捉统计及预计暴发时间分析，针对该暴发提供防治要点参考；</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▲17、提供不少于两份省级（含）以上植保部门或农业技术推广部门出具的识别准确度验证报告，且识别准确率不低于85%。</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sz w:val="18"/>
                <w:szCs w:val="18"/>
                <w:lang w:bidi="ar"/>
              </w:rPr>
              <w:t xml:space="preserve">4</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2009"/>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auto"/>
            <w:tcW w:w="360" w:type="pct"/>
            <w:vAlign w:val="center"/>
            <w:vMerge w:val="continue"/>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高空智能虫情测报灯</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1、符合GB/T 24689.1-2009植物保护机</w:t>
            </w:r>
            <w:r>
              <w:rPr>
                <w:rFonts w:hint="eastAsia" w:ascii="宋体" w:hAnsi="宋体" w:cs="宋体"/>
                <w:sz w:val="18"/>
                <w:szCs w:val="18"/>
                <w:lang w:bidi="ar"/>
              </w:rPr>
              <w:t xml:space="preserve">械 虫情测报灯标准设计。                                                                                                                                                                                                        2、专用于农业虫害防治，集中诱杀高空低空害虫；有效防治迁飞性害虫迁入危害，防止灾害发生。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3、整体结构采用不锈钢材质，采用防雨设计，雨天正常捕虫，能有效将雨、虫分离，防水等级IP65，为保证昆虫的诱集效率，设有互成120°撞击屏；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4、诱集光源：采用1000W金属卤化物灯光源；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5、远红外虫体处理: 远红外虫体处理，设备启动15分钟后达到85±5℃，处理时间可调，虫体处理致死率不小于100%，虫体完整率不小于98%，识别并正确计数一类二类农业害虫种类不少于30种，识别准确率≥90%；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6、具有光控模式、时控模式、休眠模式三种工作状态。光控模式下，设备白天自动关灯，夜间自动开灯，工作时间长度可设定； 时控模式下，设备在时段内自动开灯，在时段外自动关灯；休眠模式下，设备关灯，仍然通讯；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7、支持手机App与Web端控制,可远程查看地理位置、远程控制、工作状态、网络运行等情况；</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8、工作环境可在温度 0~40℃，湿度不大于 95%RH 的环境下正常工作；</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9、供电电源: AC220V 供电，频率50Hz，绝缘电阻:&gt;2.5MΩ；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10、设备具有定位功能，可实现在GIS地图上查看所有安装的设备，可在GIS地图上直接选择进入设备查看状态，实现对设备的统一管理；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11、可通过Web端与APP远程控制，提供手机APP或Web端账户及密码，可指导用户操作使用；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12、一个账户可远程控制多台不同编号的设备，配置方法由服务人员后台设置；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13、可通过手机APP及WEB端远程设置设备的开关、工程调试模式、远程重启，查看设备联网状态、信号、设备经纬度信息、通讯卡有效时间；远程设置光控、时控、休眠模式；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14、设备告警：可提示设备亏电、信号不足、需要维修等状态报警，可显示设备编号及告警时间，通过Web端及APP端提示；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智能虫情测报系统，可以按时间段进行统计虫情数量及趋势分析；支持对虫情的综合分析、预警分析、地图分析；（提供平台功能应用截图并提供具有检测资质的机构出具的带有CNAS或CMA标识的检测报告原件扫描件）</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16、智能虫情测报系统，可以分省，市，县，镇等多级不同权限;管理员可以查看本系统所用用户的操作记录，可看查询指定用户在指定时间内的操作记录。（提供平台功能应用截图并提供具有检测资质的机构出具的带有CNAS或CMA标识的检测报告原件扫描件）</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83"/>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小虫体智能测报灯（稻飞虱）</w:t>
            </w:r>
            <w:r/>
          </w:p>
        </w:tc>
        <w:tc>
          <w:tcPr>
            <w:shd w:val="clear" w:color="auto" w:fill="auto"/>
            <w:tcW w:w="3439" w:type="pct"/>
            <w:vAlign w:val="center"/>
            <w:textDirection w:val="lrTb"/>
            <w:noWrap w:val="false"/>
          </w:tcPr>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▲2、诱捕与拍照技术集成于</w:t>
            </w:r>
            <w:r>
              <w:rPr>
                <w:rFonts w:hint="eastAsia" w:ascii="宋体" w:hAnsi="宋体" w:eastAsia="宋体" w:cs="宋体"/>
                <w:color w:val="auto"/>
                <w:sz w:val="18"/>
                <w:szCs w:val="18"/>
              </w:rPr>
              <w:t xml:space="preserve">一体的虫情测报系统，通过定制波段光源诱捕靶标害虫，内置不低于2000W高清工业摄像机，对小虫体进行活体拍照，针对飞虱类、叶蝉类等小虫体害虫进行自动识别计数，通过A1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十紫二叉叶蝉、其他叶蝉、黑肩绿盲蝽、其他绿盲蝽、蚁形隐翅虫等20余种微小虫体，识别准确率≥90%。(提供具有CNAS或CMA标识的相关检测机构出具的检测报告原件扫描件。</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6、图像处理：包括但不限于画面分割、切换处理及保存等功能。图片保存质量应满足虫体人工手动计数的识别需求。</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7、内置GPS定位功能，可在地图中查看设备站点等数据。在PC云端地图中查看设备站点等数据，设备被盗可追踪。</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9、虫子收集储存技术：对拍完照的虫子，需要保留标本的留在储存袋内，人工定期去收集；对于不需要标本的，虫子直接排出机器外部；</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10、电源：太阳能供电，直流12v；灯管启动时间：开机后小于5秒；绝缘电阻：大于2.5MΩ；</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11、工作环境温度：0～70℃，工作环境湿度：≤95%。</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▲12、虫害爆发分析模型：将捕获到的昆虫进行统计分析，绘制出虫害的发生趋势与发生轨迹，并确定其发生源头，以此为数据基础实现病虫害的预测预警；</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13、具备标准化数据输出接口，支持与国家级、省级、市级、县区级和当地相关信息调度管理平台实现无缝对接。</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14、作物产量评估模型：根据虫害、天气、土壤、作物、农事等数据，实现作物整个生育期内各指标的模拟。</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▲15、具有不少于两个省级（含）以上植保部门或农业技术推广部门出具的应用试验报告，且试验识别准确率高于90%。</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▲16、关注微信公众号，即可接收设备诱虫信息推送:包括灯下成虫首现信息和每日诱虫数据。根据账号权限，省市县数据三级贯通，按权限隔离。</w:t>
            </w:r>
            <w:r/>
          </w:p>
        </w:tc>
        <w:tc>
          <w:tcPr>
            <w:shd w:val="clear" w:color="auto" w:fill="auto"/>
            <w:tcW w:w="229" w:type="pct"/>
            <w:vAlign w:val="center"/>
            <w:textDirection w:val="lrTb"/>
            <w:noWrap/>
          </w:tcPr>
          <w:p>
            <w:pPr>
              <w:jc w:val="center"/>
              <w:spacing w:line="220" w:lineRule="exact"/>
              <w:widowControl/>
              <w:rPr>
                <w:rFonts w:ascii="宋体" w:hAnsi="宋体" w:cs="宋体"/>
                <w:color w:val="ff0000"/>
                <w:sz w:val="18"/>
                <w:szCs w:val="18"/>
                <w:lang w:bidi="ar"/>
              </w:rPr>
            </w:pPr>
            <w:r>
              <w:rPr>
                <w:rFonts w:hint="eastAsia" w:ascii="宋体" w:hAnsi="宋体" w:cs="宋体"/>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34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稻纵卷叶螟智能赶蛾统计杆</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全域覆盖机构：扫杆支持正/逆时针360°双向旋转，最大展开长度4米，有效作业面积50㎡；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智能升降系统：垂直调节行程≥1米，适配各品种水稻株高范围（须提供具有CNAS标识相关检测机构出具的有效检测报告原件扫描件）；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安全复位机制：作业完成后自动归位至预设安全位置；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 高清成像组件：配置400万像素CMOS传感器摄像头；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 自适应光学控制：支持远程调节焦距；</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 双模调节功能：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自动模式：具备通过图像识别水稻高度后，自动调整每日赶蛾高度；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手动模式：支持后台远程设置1-360°作业角度。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 环境适应策略：可联动调整作业时间（日出时间30min）、延迟启动（雨停后30min）；</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▲8. 目标识别引擎：识别算法可有效剔除杂虫干扰，稻纵卷叶螟识别准确率≥90%（须提供具有CNAS标识相关检测机构出具的有效检测报告原件扫描件）；</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470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可移动调查设备</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头戴式可移动田间智能监测调查设备（农业病虫害AR智能测报仪）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1、操作系统：Android系统（AOSP），双麦克风，带降噪算法；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2、内存/芯片： 32GB，≥8核芯片，通用无线网络：支持wifi2.4GHz、wifi5GHz、蓝牙5.0。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3、显示器:≤ 0.23寸单目屏幕，像素密度≥3281ppi，峰值亮度≥3000nits，室外阳光下清晰可见；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4、摄像头：长焦≥8M 5X (120mm，支持AF、OIS)+广角≥ 50M (28mm，支持AF)，传感器：6轴陀螺仪+环境光传感器,PDAF高速相位对焦。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5、触控：支持3点触控场景，触控区≤20*50mm；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6、电池：≥990mAh/3.81Wh，聚合物电芯，4.45V，充电：5V2A，2PIN，续航时间2-3h，可边充电边工作，总重量≤100g；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7、一体机形态，无需外接数据线，无论性别、头围大小、瞳距不同皆可佩戴使用。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8、防水性：IP54防尘防水，佩戴轻便。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▲9、实现对稻飞虱15个指标进行有效识别，平均识别准确率≥95%（投标人须提供具有CNAS标识相关检测机构出具的有效检测报告原件扫描件）；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10、支持小麦赤霉病的分级定量识别；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11、支持蚜虫的定量计数识别；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▲12、实现自动识别烟粉虱的幼虫、成虫并自动统计计数（投标人须提供具有CNAS标识相关检测机构出具的有效检测报告原件扫描件）；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13、支持可个性化配置，根据区域植保站主要病虫害配置调查场景以及配套的识别模型服务，支持第三方识别服务的接入；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14、具有手机APP端和PC端双操作平台，可查看、编辑数据:手机端通过采集时间、采集对象进行数据筛选和查看;PC端均可通过采集时间、采集对象、采集用户、采集地点进行数据筛选、搜索和查看。</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15、支持PC端导出病虫害调查数据列表。</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5361"/>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auto"/>
            <w:tcW w:w="36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赤霉病、稻瘟病自动监测站</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▲1、作物病害自动监测预警模型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系统包括子囊壳形成与温湿度关系模型、侵染概率模型、菌量模型、潜育速率模型、显症率模型、重复侵染概率模型、病穗率模型、发病程度模型等子模型，构成小麦-玉米轮作和小麦-水稻轮作的赤霉病、稻瘟病监测预警模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2、作物病害自动监测预警系统软件部分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数据采集云存储：实时采集田间数据，每2小时上传一次，储存至少3年历史数据，用折线图、数据列表等不同形式展示；（提供国家权威机构出具的检测报告原件扫描件）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预测结果与国家标准对应，在小麦赤霉病、稻瘟病防治关键期前15天开始预报发病情况，超过防治指标自动报警，可在电脑PC端、手机微信小程序查看；（提供国家权威机构出具的检测报告原件扫描件）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 开放式系统平台，自动接入国家平台，可接入其他省、市、县区级平台。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3、作物病害自动监测预警系统硬件部分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 主机规格：高1.8 m ，重量80kg；电池容量：12 V 20 A（采用高原专用电池6-CNJ-20，输出功率受环境温度影响较小）；太阳能板：40W；功耗：10 mA；工作时间：在连续阴雨天环境中可持续工作30天；工作温度范围：-20℃~80℃；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整机为SUS 304不锈钢材质，耐酸碱，耐腐蚀，防护等级IP67，抗冲击等级IK08；</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 温度及降雨量采集传感器采用光电感应技术；风速风向传感器采用超声波采集技术；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 仪器具有远程调试、无人值守、无缝监控等功能。                                                                                                                                                                                                               4、预测准确率可达95%。</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46"/>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14</w:t>
            </w:r>
            <w:r/>
          </w:p>
        </w:tc>
        <w:tc>
          <w:tcPr>
            <w:shd w:val="clear" w:color="auto" w:fill="auto"/>
            <w:tcW w:w="36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离心式单逆流孢子捕捉仪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离心式单逆流孢子捕捉仪功能特点</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 具有自动采集空气中的病菌孢子、污染物、粉尘、花粉等，为病害监测预警提供可靠 数据的功能；（提供国家权威机构出具的检测报告原件扫描件加盖制造商公章）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 对空气传播性病原菌孢子，实验室进行PCR定量检测分析，系统平台查看作物生长关键期病原菌孢子数量；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 可持续无间断采样、不会过载，不会损失，不会改变采样效率；（提供国家权威机构出具的检测报告原件扫描件加盖制造商公章）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 可在连续阴雨天中持续工作30天以上；</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 具有远程调试、无人值守、无缝监控等功能；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 采集控制器：4G云智能多路遥控开关，远程遥控孢子捕捉仪开关机；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离心式单逆流孢子捕捉仪参数：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支撑板：厚度5 mm的304不锈钢；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支撑架：镀锌；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2.3防护罩：1mm 厚 1060#铝板；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2.4双头螺栓：304不锈钢；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2.5 底盘：ZL102表面喷塑；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2.6 通气管连接支架：PVC；</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2.7 取样管为2ml亚克力，每7天更换一次；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2.8 风标、风机罩、挡板：厚度≥5 mm的航空铝板，阳极化处理；（提供国家权威机构出具的检测报告原件扫描件加盖制造商公章）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2.9 真空泵由7000转/分的电机驱动，驱动的风盘动平衡数值≤0.03g；（提供国家权威机构出具的检测报告原件扫描件加盖制造商公章）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2.10 真空泵带动单逆流微型旋风分离器，分离器连接采样器；（提供国家权威机构出具的检测报告原件扫描件加盖制造商公章）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2.11 具有蓄电池温度补偿功能；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电源转换供电系统参数：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3.1光伏阵列极性反接保护、蓄电池极性反接保护、蓄电池超压保护、蓄电池过放保护、蓄电池超温保护、负载过载保护、负载短路保护、温度传感器损坏保护、控制器超温保护；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LED指示灯显示；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3.3额定充电电流：10A；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3.4空载损耗：＜30Ma/12V；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3.5充放电回路压降：＜0.5V；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3.6 输出电压：DC12V，输出最大功率：120W；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3.7 电芯型号：18650/3.7V；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3.8 电池外壳：铝外壳；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3.9 工作环境温度：-35℃～85℃；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3.10 工作环境温度内(-25℃～55℃)能以额定充电电流满载连续运行；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3.11 箱体采用1.2mm厚镀锌板，外表高温喷塑；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3.12 锂电保护：短路保护，过充保护，过放保护，过流保护。</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r>
      <w:tr>
        <w:trPr>
          <w:trHeight w:val="6100"/>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病虫害自动分析</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病虫害防治分析系统</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将县域内所有农业物联网设备采集的数据通过网络传输到系统内，并进行数据标准化验证和统一管理，提高调查资料的准确性和可比性，减少人为和其它因素</w:t>
            </w:r>
            <w:r>
              <w:rPr>
                <w:rFonts w:hint="eastAsia" w:ascii="宋体" w:hAnsi="宋体" w:cs="宋体"/>
                <w:sz w:val="18"/>
                <w:szCs w:val="18"/>
              </w:rPr>
              <w:t xml:space="preserve">造成的数据误差，提高测报准确率。建立田间智能物联网设备管理库，管理设备的运行状态。此外还有病虫害监测数据查询、统计及图形分析、地区病虫害档案和病虫图谱、预报情报报送等功能。功能清单包括：主页、数据查询（按设备查询、按指标查询、多指标专题等）、数据分析（数据展示屏、多年同比分析、多指标叠加分析、多区域分析、单点分析等）、物联网管理（监测点管理、物联网数据同步日志、设备数据、物联网图片展示等）、知识库（植保知识库、多媒体库等）、信息发布管理（发布用户管理、发布信息管理、发布记录管理等）、系统管理（用户管理等）；</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具体要求如下：</w:t>
            </w:r>
            <w:r/>
          </w:p>
          <w:p>
            <w:pPr>
              <w:jc w:val="left"/>
              <w:spacing w:line="220" w:lineRule="exact"/>
              <w:widowControl/>
              <w:rPr>
                <w:rFonts w:ascii="宋体" w:hAnsi="宋体" w:cs="宋体"/>
                <w:sz w:val="18"/>
                <w:szCs w:val="18"/>
              </w:rPr>
            </w:pPr>
            <w:r>
              <w:rPr>
                <w:rFonts w:hint="eastAsia" w:ascii="宋体" w:hAnsi="宋体" w:cs="宋体"/>
                <w:sz w:val="18"/>
                <w:szCs w:val="18"/>
              </w:rPr>
              <w:t xml:space="preserve">1、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w:t>
            </w:r>
            <w:r/>
          </w:p>
          <w:p>
            <w:pPr>
              <w:jc w:val="left"/>
              <w:spacing w:line="220" w:lineRule="exact"/>
              <w:widowControl/>
              <w:rPr>
                <w:rFonts w:ascii="宋体" w:hAnsi="宋体" w:cs="宋体"/>
                <w:sz w:val="18"/>
                <w:szCs w:val="18"/>
              </w:rPr>
            </w:pPr>
            <w:r>
              <w:rPr>
                <w:rFonts w:hint="eastAsia" w:ascii="宋体" w:hAnsi="宋体" w:cs="宋体"/>
                <w:sz w:val="18"/>
                <w:szCs w:val="18"/>
              </w:rPr>
              <w:t xml:space="preserve">2、按指标查询：按照虫害、病害、气象等各类指标来查询数据，查询时系统会自动将可采集该指标的设备筛选出来，查询结果可根据指标的数据特点进行有效呈现；</w:t>
            </w:r>
            <w:r/>
          </w:p>
          <w:p>
            <w:pPr>
              <w:jc w:val="left"/>
              <w:spacing w:line="220" w:lineRule="exact"/>
              <w:widowControl/>
              <w:rPr>
                <w:rFonts w:ascii="宋体" w:hAnsi="宋体" w:cs="宋体"/>
                <w:sz w:val="18"/>
                <w:szCs w:val="18"/>
              </w:rPr>
            </w:pPr>
            <w:r>
              <w:rPr>
                <w:rFonts w:hint="eastAsia" w:ascii="宋体" w:hAnsi="宋体" w:cs="宋体"/>
                <w:sz w:val="18"/>
                <w:szCs w:val="18"/>
              </w:rPr>
              <w:t xml:space="preserve">▲3、多指标专题：后台管理员分别对虫害、病害、墒情、灾情专题配置关联指标，使用者无需过多操作即可实现核心指标与因子指标的叠加关系分析；（提供平台功能应用截图）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▲4、多指标叠加分析：使用者可将任何物联网监测指标进行叠加分析，叠加时可自动根据指标属性设定统计周期，帮助使用者进行综合业务分析；（提供平台功能应用截图）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发布信息管理：使用者可根据内置模板对发布信息进行编辑管理，并可将编辑好的信息发布给预先设定的订阅号、服务号的管理员微信进行预览；模板确认后，系统将根据模板设定的统计周期定期将信息发布给所有用户。</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5650"/>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auto"/>
            <w:tcW w:w="360" w:type="pct"/>
            <w:vAlign w:val="center"/>
            <w:vMerge w:val="restart"/>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智能灌溉系统</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智能一体化进、出水闸门及渠道配套改造</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本项1套智能闸门包含：进水闸门、出水闸门各1个及相关配件。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闸门：铝合金/不锈钢材质，闸口30cm，闸门适用于正反向水压条件，闸门结构坚固、耐磨耐蚀性强。</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驱动电机：性能驱动电机，DC24V直流电机，频繁启停，宽速度调节范围。</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支架：30cm闸门支架；电机固定支架；电池固定支架；限位开关固定支架；控制器固定支架。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控制器与配套电路：无线远程控制器、配套电路，功能:单片机数据采集显示、数据处理、计算、报警、传输等，控制设备包括阀门等</w:t>
            </w:r>
            <w:r>
              <w:rPr>
                <w:rFonts w:hint="eastAsia" w:ascii="宋体" w:hAnsi="宋体" w:cs="宋体"/>
                <w:sz w:val="18"/>
                <w:szCs w:val="18"/>
                <w:lang w:bidi="ar"/>
              </w:rPr>
              <w:br/>
              <w:t xml:space="preserve">用途：传感器数据采集、传感器数据传输，工业级</w:t>
            </w:r>
            <w:r>
              <w:rPr>
                <w:rFonts w:hint="eastAsia" w:ascii="宋体" w:hAnsi="宋体" w:cs="宋体"/>
                <w:sz w:val="18"/>
                <w:szCs w:val="18"/>
                <w:lang w:bidi="ar"/>
              </w:rPr>
              <w:br/>
              <w:t xml:space="preserve">输入电压：DC5~36V</w:t>
            </w:r>
            <w:r>
              <w:rPr>
                <w:rFonts w:hint="eastAsia" w:ascii="宋体" w:hAnsi="宋体" w:cs="宋体"/>
                <w:sz w:val="18"/>
                <w:szCs w:val="18"/>
                <w:lang w:bidi="ar"/>
              </w:rPr>
              <w:br/>
              <w:t xml:space="preserve">RS485 协议处理：支持自定义问询指令下发、支持标准MODBUS协议解析</w:t>
            </w:r>
            <w:r>
              <w:rPr>
                <w:rFonts w:hint="eastAsia" w:ascii="宋体" w:hAnsi="宋体" w:cs="宋体"/>
                <w:sz w:val="18"/>
                <w:szCs w:val="18"/>
                <w:lang w:bidi="ar"/>
              </w:rPr>
              <w:br/>
              <w:t xml:space="preserve">工作电流：35mA/12v 网络缓存：4K  数据接口：RS232/485</w:t>
            </w:r>
            <w:r>
              <w:rPr>
                <w:rFonts w:hint="eastAsia" w:ascii="宋体" w:hAnsi="宋体" w:cs="宋体"/>
                <w:sz w:val="18"/>
                <w:szCs w:val="18"/>
                <w:lang w:bidi="ar"/>
              </w:rPr>
              <w:br/>
              <w:t xml:space="preserve">波特率：2400bps~115200bps  天线接口：SMA射频座</w:t>
            </w:r>
            <w:r>
              <w:rPr>
                <w:rFonts w:hint="eastAsia" w:ascii="宋体" w:hAnsi="宋体" w:cs="宋体"/>
                <w:sz w:val="18"/>
                <w:szCs w:val="18"/>
                <w:lang w:bidi="ar"/>
              </w:rPr>
              <w:br/>
              <w:t xml:space="preserve">复位功能：复位按键，复位初始参数</w:t>
            </w:r>
            <w:r>
              <w:rPr>
                <w:rFonts w:hint="eastAsia" w:ascii="宋体" w:hAnsi="宋体" w:cs="宋体"/>
                <w:sz w:val="18"/>
                <w:szCs w:val="18"/>
                <w:lang w:bidi="ar"/>
              </w:rPr>
              <w:b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限位器：高、低限位器，额定电流10A，触点数1NO+1NC，操作力200N，接线方式插入式。</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太阳能供电：包括电压为36V，优质铝合金为边框材质的单晶硅太阳能电池板、一体支架（控制器,电池置于支架内部），MPPT智能控制器(内置)，24V三元聚合物锂电池组,用于给设备供电的DC线。</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水位传感器：0-3米0.03级超声波液位计，DC12V三线制，密封等级为IP68，检测介质为弱腐蚀性液体，支持485通讯，响应时间≤5mS。闸门配套专用水位传感器支架。</w:t>
            </w:r>
            <w:r/>
          </w:p>
          <w:p>
            <w:pPr>
              <w:numPr>
                <w:ilvl w:val="0"/>
                <w:numId w:val="6"/>
              </w:numPr>
              <w:jc w:val="left"/>
              <w:spacing w:line="220" w:lineRule="exact"/>
              <w:widowControl/>
              <w:rPr>
                <w:sz w:val="18"/>
                <w:szCs w:val="18"/>
              </w:rPr>
            </w:pPr>
            <w:r>
              <w:rPr>
                <w:rFonts w:hint="eastAsia" w:ascii="宋体" w:hAnsi="宋体" w:cs="宋体"/>
                <w:sz w:val="18"/>
                <w:szCs w:val="18"/>
                <w:lang w:bidi="ar"/>
              </w:rPr>
              <w:t xml:space="preserve">施工：含水泥预制、砂石、砖、管；每套40米渠道切割安装配套改造。</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20</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425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17</w:t>
            </w:r>
            <w:r/>
          </w:p>
        </w:tc>
        <w:tc>
          <w:tcPr>
            <w:shd w:val="clear" w:color="auto" w:fill="auto"/>
            <w:tcW w:w="360" w:type="pct"/>
            <w:vAlign w:val="center"/>
            <w:vMerge w:val="continue"/>
            <w:textDirection w:val="lrTb"/>
            <w:noWrap w:val="false"/>
          </w:tcPr>
          <w:p>
            <w:pPr>
              <w:jc w:val="center"/>
              <w:spacing w:line="220" w:lineRule="exact"/>
              <w:widowControl/>
              <w:rPr>
                <w:rFonts w:ascii="宋体" w:hAnsi="宋体" w:cs="宋体"/>
                <w:sz w:val="18"/>
                <w:szCs w:val="18"/>
              </w:rPr>
            </w:pPr>
            <w:r>
              <w:rPr>
                <w:rFonts w:ascii="宋体" w:hAnsi="宋体" w:cs="宋体"/>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泵站智能化改造</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加装泵站远程控制终端-多场景AI控制柜：</w:t>
            </w:r>
            <w:r>
              <w:rPr>
                <w:rFonts w:hint="eastAsia" w:ascii="宋体" w:hAnsi="宋体" w:cs="宋体"/>
                <w:sz w:val="18"/>
                <w:szCs w:val="18"/>
                <w:lang w:bidi="ar"/>
              </w:rPr>
              <w:br/>
              <w:t xml:space="preserve">远传通讯方式：4G；</w:t>
            </w:r>
            <w:r>
              <w:rPr>
                <w:rFonts w:hint="eastAsia" w:ascii="宋体" w:hAnsi="宋体" w:cs="宋体"/>
                <w:sz w:val="18"/>
                <w:szCs w:val="18"/>
                <w:lang w:bidi="ar"/>
              </w:rPr>
              <w:br/>
              <w:t xml:space="preserve">控制方式：现场手动控制、远程电脑或移动终端控制；</w:t>
            </w:r>
            <w:r>
              <w:rPr>
                <w:rFonts w:hint="eastAsia" w:ascii="宋体" w:hAnsi="宋体" w:cs="宋体"/>
                <w:sz w:val="18"/>
                <w:szCs w:val="18"/>
                <w:lang w:bidi="ar"/>
              </w:rPr>
              <w:br/>
              <w:t xml:space="preserve">控制回路：联机拓展；</w:t>
            </w:r>
            <w:r>
              <w:rPr>
                <w:rFonts w:hint="eastAsia" w:ascii="宋体" w:hAnsi="宋体" w:cs="宋体"/>
                <w:sz w:val="18"/>
                <w:szCs w:val="18"/>
                <w:lang w:bidi="ar"/>
              </w:rPr>
              <w:br/>
              <w:t xml:space="preserve">控制功能：可与485控制模块配套使用实现远距离控制，也可通过自身继电器与配套配电柜配合使用；</w:t>
            </w:r>
            <w:r>
              <w:rPr>
                <w:rFonts w:hint="eastAsia" w:ascii="宋体" w:hAnsi="宋体" w:cs="宋体"/>
                <w:sz w:val="18"/>
                <w:szCs w:val="18"/>
                <w:lang w:bidi="ar"/>
              </w:rPr>
              <w:br/>
              <w:t xml:space="preserve">防护措施：防反接保护。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智能灌溉算法：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1、土壤墒情阈值算法：设定不同生育期土壤湿度阈值，当传感器监测值低于下限，自动触发灌溉；达到上限则停止，适配水稻各阶段需水特性。</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2、作物系数 - 蒸发蒸腾量算法：结合水稻作物系数、气象数据（气温、风速等）计算蒸发蒸腾量，按 “需水量 = 蒸腾量 + 土壤补水” 公式确定灌溉量，实现按需供水。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3、机器学习预测灌溉算法：用历史灌溉数据、生长状态和产量训练模型，预测最佳灌溉时间与水量，减少盲目灌溉。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4、墒情 - 气象联动算法：综合土壤墒情与未来天气预报（如下雨则减少灌溉），动态调整灌溉计划，避免水资源浪费。</w:t>
            </w:r>
            <w:r/>
          </w:p>
          <w:p>
            <w:pPr>
              <w:jc w:val="left"/>
              <w:spacing w:line="220" w:lineRule="exact"/>
              <w:widowControl/>
              <w:rPr>
                <w:sz w:val="18"/>
                <w:szCs w:val="18"/>
              </w:rPr>
            </w:pPr>
            <w:r>
              <w:rPr>
                <w:rFonts w:hint="eastAsia" w:ascii="宋体" w:hAnsi="宋体" w:cs="宋体"/>
                <w:sz w:val="18"/>
                <w:szCs w:val="18"/>
                <w:lang w:bidi="ar"/>
              </w:rPr>
              <w:t xml:space="preserve">5、分区域差异化灌溉算法：通过传感器划分田间墒情区域，对干旱区优先灌溉、湿润区延迟，提高灌溉针对性。</w:t>
            </w:r>
            <w:r/>
          </w:p>
        </w:tc>
        <w:tc>
          <w:tcPr>
            <w:shd w:val="clear" w:color="auto" w:fill="auto"/>
            <w:tcW w:w="229"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836"/>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18</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植物冠层分析仪</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植物冠层分析仪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1、防水等级高：全铝合金，防水等级IP67。</w:t>
            </w:r>
            <w:r>
              <w:rPr>
                <w:rFonts w:hint="eastAsia" w:ascii="宋体" w:hAnsi="宋体" w:cs="宋体"/>
                <w:sz w:val="18"/>
                <w:szCs w:val="18"/>
                <w:lang w:bidi="ar"/>
              </w:rPr>
              <w:br/>
              <w:t xml:space="preserve">2、采用可见/近红外光反射光谱技术和多通道光谱信息扫描技术，可快速测定植被表面参数、植物冠层信息、植物养分信息、土壤养分信息、环境参数、植物病虫害程度等。</w:t>
            </w:r>
            <w:r>
              <w:rPr>
                <w:rFonts w:hint="eastAsia" w:ascii="宋体" w:hAnsi="宋体" w:cs="宋体"/>
                <w:sz w:val="18"/>
                <w:szCs w:val="18"/>
                <w:lang w:bidi="ar"/>
              </w:rPr>
              <w:br/>
              <w:t xml:space="preserve">3、软件分析功能多：可分析植被指数RVI、NDVI、作物叶层含氮量、氮积累量、叶面积指数、叶干重等。</w:t>
            </w:r>
            <w:r>
              <w:rPr>
                <w:rFonts w:hint="eastAsia" w:ascii="宋体" w:hAnsi="宋体" w:cs="宋体"/>
                <w:sz w:val="18"/>
                <w:szCs w:val="18"/>
                <w:lang w:bidi="ar"/>
              </w:rPr>
              <w:br/>
              <w:t xml:space="preserve">主机功能：</w:t>
            </w:r>
            <w:r>
              <w:rPr>
                <w:rFonts w:hint="eastAsia" w:ascii="宋体" w:hAnsi="宋体" w:cs="宋体"/>
                <w:sz w:val="18"/>
                <w:szCs w:val="18"/>
                <w:lang w:bidi="ar"/>
              </w:rPr>
              <w:br/>
              <w:t xml:space="preserve">1.带手机APP和仪器云平台。2.带GPS定位功能。3.带语音播报功能。</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99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19</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无人机 </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田间调查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1、一亿像素 4/3 CMOS 哈苏相机，6K/60fps HDR 视频</w:t>
            </w:r>
            <w:r/>
          </w:p>
          <w:p>
            <w:pPr>
              <w:jc w:val="left"/>
              <w:spacing w:line="220" w:lineRule="exact"/>
              <w:widowControl/>
              <w:rPr>
                <w:rFonts w:ascii="宋体" w:hAnsi="宋体" w:cs="宋体"/>
                <w:sz w:val="18"/>
                <w:szCs w:val="18"/>
              </w:rPr>
            </w:pPr>
            <w:r>
              <w:rPr>
                <w:rFonts w:hint="eastAsia" w:ascii="宋体" w:hAnsi="宋体" w:cs="宋体"/>
                <w:sz w:val="18"/>
                <w:szCs w:val="18"/>
              </w:rPr>
              <w:t xml:space="preserve">2、1/1.3 英寸与 1/1.5 英寸大底双长焦相机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3、360°旋转万象云台，运镜灵动自由</w:t>
            </w:r>
            <w:r/>
          </w:p>
          <w:p>
            <w:pPr>
              <w:jc w:val="left"/>
              <w:spacing w:line="220" w:lineRule="exact"/>
              <w:widowControl/>
              <w:rPr>
                <w:rFonts w:ascii="宋体" w:hAnsi="宋体" w:cs="宋体"/>
                <w:sz w:val="18"/>
                <w:szCs w:val="18"/>
              </w:rPr>
            </w:pPr>
            <w:r>
              <w:rPr>
                <w:rFonts w:hint="eastAsia" w:ascii="宋体" w:hAnsi="宋体" w:cs="宋体"/>
                <w:sz w:val="18"/>
                <w:szCs w:val="18"/>
              </w:rPr>
              <w:t xml:space="preserve">4、0.1 Lux 夜景级全向主动避障</w:t>
            </w:r>
            <w:r/>
          </w:p>
          <w:p>
            <w:pPr>
              <w:jc w:val="left"/>
              <w:spacing w:line="220" w:lineRule="exact"/>
              <w:widowControl/>
              <w:rPr>
                <w:rFonts w:ascii="宋体" w:hAnsi="宋体" w:cs="宋体"/>
                <w:sz w:val="18"/>
                <w:szCs w:val="18"/>
              </w:rPr>
            </w:pPr>
            <w:r>
              <w:rPr>
                <w:rFonts w:hint="eastAsia" w:ascii="宋体" w:hAnsi="宋体" w:cs="宋体"/>
                <w:sz w:val="18"/>
                <w:szCs w:val="18"/>
              </w:rPr>
              <w:t xml:space="preserve">5、51 分钟飞行时间</w:t>
            </w:r>
            <w:r/>
          </w:p>
          <w:p>
            <w:pPr>
              <w:jc w:val="left"/>
              <w:spacing w:line="220" w:lineRule="exact"/>
              <w:widowControl/>
              <w:rPr>
                <w:rFonts w:ascii="宋体" w:hAnsi="宋体" w:cs="宋体"/>
                <w:sz w:val="18"/>
                <w:szCs w:val="18"/>
              </w:rPr>
            </w:pPr>
            <w:r>
              <w:rPr>
                <w:rFonts w:hint="eastAsia" w:ascii="宋体" w:hAnsi="宋体" w:cs="宋体"/>
                <w:sz w:val="18"/>
                <w:szCs w:val="18"/>
              </w:rPr>
              <w:t xml:space="preserve">6、30 公里 10-bit HDR 图传</w:t>
            </w:r>
            <w:r/>
          </w:p>
          <w:p>
            <w:pPr>
              <w:pStyle w:val="904"/>
              <w:numPr>
                <w:ilvl w:val="0"/>
                <w:numId w:val="7"/>
              </w:numPr>
              <w:ind w:firstLine="0"/>
              <w:spacing w:line="220" w:lineRule="exact"/>
              <w:widowControl/>
              <w:rPr>
                <w:rFonts w:eastAsia="宋体" w:cs="宋体"/>
                <w:sz w:val="18"/>
                <w:szCs w:val="18"/>
              </w:rPr>
            </w:pPr>
            <w:r>
              <w:rPr>
                <w:rFonts w:hint="eastAsia" w:eastAsia="宋体" w:cs="宋体"/>
                <w:sz w:val="18"/>
                <w:szCs w:val="18"/>
              </w:rPr>
              <w:t xml:space="preserve">配备遥控器，额外含2块电池、充电管家、增强图传等配件。</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8、无人机设备包含3年保险。</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3106"/>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农产品快检设备</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食品安全检测仪（含试剂）及操作台</w:t>
            </w:r>
            <w:r/>
          </w:p>
        </w:tc>
        <w:tc>
          <w:tcPr>
            <w:shd w:val="clear" w:color="auto" w:fill="auto"/>
            <w:tcW w:w="3439" w:type="pct"/>
            <w:vAlign w:val="center"/>
            <w:textDirection w:val="lrTb"/>
            <w:noWrap w:val="false"/>
          </w:tcPr>
          <w:p>
            <w:pPr>
              <w:numPr>
                <w:ilvl w:val="0"/>
                <w:numId w:val="8"/>
              </w:numPr>
              <w:jc w:val="left"/>
              <w:spacing w:line="220" w:lineRule="exact"/>
              <w:widowControl/>
              <w:rPr>
                <w:rFonts w:ascii="宋体" w:hAnsi="宋体" w:cs="宋体"/>
                <w:sz w:val="18"/>
                <w:szCs w:val="18"/>
              </w:rPr>
            </w:pPr>
            <w:r>
              <w:rPr>
                <w:rFonts w:hint="eastAsia" w:ascii="宋体" w:hAnsi="宋体" w:cs="宋体"/>
                <w:sz w:val="18"/>
                <w:szCs w:val="18"/>
              </w:rPr>
              <w:t xml:space="preserve">设备参数：波长配置：410nm；抑制率显示范围：0%～100%；抑制率测量范围：0%～100%；透射比准确度：±1.5%；透射比重复性：≤0.5%；漂移：≤0.005Abs/3min；抑制率示值误差：≤10%；抑制率重复性：≤5%</w:t>
            </w:r>
            <w:r>
              <w:rPr>
                <w:rFonts w:hint="eastAsia" w:ascii="宋体" w:hAnsi="宋体" w:cs="宋体"/>
                <w:sz w:val="18"/>
                <w:szCs w:val="18"/>
              </w:rPr>
              <w:br/>
              <w:t xml:space="preserve">2、安卓智能操作系统，仪器具有无线联网上传功能，进行数据统计和分析。</w:t>
            </w:r>
            <w:r>
              <w:rPr>
                <w:rFonts w:hint="eastAsia" w:ascii="宋体" w:hAnsi="宋体" w:cs="宋体"/>
                <w:sz w:val="18"/>
                <w:szCs w:val="18"/>
              </w:rPr>
              <w:br/>
              <w:t xml:space="preserve">3、仪器具有自检功能：具有开机自检和调零功能，具有自动检测重复性功能；同时，检测完成可自动打印检测报告和二维码。手机扫码可显示出详细检测信息。</w:t>
            </w:r>
            <w:r>
              <w:rPr>
                <w:rFonts w:hint="eastAsia" w:ascii="宋体" w:hAnsi="宋体" w:cs="宋体"/>
                <w:sz w:val="18"/>
                <w:szCs w:val="18"/>
              </w:rPr>
              <w:br/>
              <w:t xml:space="preserve">4、仪器带有监管平台，数据可局域网和互联网数据上传，检测结果直接传至食品安全监管平台。进行区域食品安全监管及大数据分析处理与数据统计，检测区域食品安全长短期动态，达到食品安全问题预估、预警。</w:t>
            </w:r>
            <w:r/>
          </w:p>
          <w:p>
            <w:pPr>
              <w:jc w:val="left"/>
              <w:spacing w:line="220" w:lineRule="exact"/>
              <w:widowControl/>
              <w:rPr>
                <w:rFonts w:ascii="宋体" w:hAnsi="宋体" w:cs="宋体"/>
                <w:sz w:val="18"/>
                <w:szCs w:val="18"/>
              </w:rPr>
            </w:pPr>
            <w:r>
              <w:rPr>
                <w:rFonts w:hint="eastAsia" w:ascii="宋体" w:hAnsi="宋体" w:cs="宋体"/>
                <w:sz w:val="18"/>
                <w:szCs w:val="18"/>
              </w:rPr>
              <w:t xml:space="preserve">5、检测卡：黄曲霉素胶体金检测卡100个、呕吐物质胶体金检测卡100个、有机磷类其他农药残留胶体金检测卡300个。</w:t>
            </w:r>
            <w:r/>
          </w:p>
          <w:p>
            <w:pPr>
              <w:jc w:val="left"/>
              <w:spacing w:line="220" w:lineRule="exact"/>
              <w:widowControl/>
              <w:rPr>
                <w:sz w:val="18"/>
                <w:szCs w:val="18"/>
              </w:rPr>
            </w:pPr>
            <w:r>
              <w:rPr>
                <w:rFonts w:hint="eastAsia" w:ascii="宋体" w:hAnsi="宋体" w:cs="宋体"/>
                <w:sz w:val="18"/>
                <w:szCs w:val="18"/>
                <w:lang w:bidi="ar"/>
              </w:rPr>
              <w:t xml:space="preserve">6、1-2米实验操作台，带实验室水龙头，水电配备到位；试剂柜。</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5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21</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设备基础平台</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基础</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平台</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新建设备操作平台≥15m²（按设备现场具体情况确定），尺寸：3m*5m，平台为塑木地基，塑木板材2.3厚。</w:t>
            </w:r>
            <w:r>
              <w:rPr>
                <w:rFonts w:hint="eastAsia" w:ascii="宋体" w:hAnsi="宋体" w:cs="宋体"/>
                <w:sz w:val="18"/>
                <w:szCs w:val="18"/>
                <w:lang w:bidi="ar"/>
              </w:rPr>
              <w:br/>
              <w:t xml:space="preserve">新建围栏16m，围栏采用公园塑木架式，高出平台1.2m。</w:t>
            </w:r>
            <w:r>
              <w:rPr>
                <w:rFonts w:hint="eastAsia" w:ascii="宋体" w:hAnsi="宋体" w:cs="宋体"/>
                <w:sz w:val="18"/>
                <w:szCs w:val="18"/>
                <w:lang w:bidi="ar"/>
              </w:rPr>
              <w:br/>
              <w:t xml:space="preserve">围栏上开设1套1米宽人行门，材质及样式同围栏。</w:t>
            </w:r>
            <w:r/>
          </w:p>
          <w:p>
            <w:pPr>
              <w:spacing w:line="220" w:lineRule="exact"/>
              <w:widowControl/>
              <w:rPr>
                <w:sz w:val="18"/>
                <w:szCs w:val="18"/>
              </w:rPr>
            </w:pPr>
            <w:r>
              <w:rPr>
                <w:rFonts w:hint="eastAsia" w:ascii="宋体" w:hAnsi="宋体" w:cs="宋体"/>
                <w:sz w:val="18"/>
                <w:szCs w:val="18"/>
                <w:lang w:bidi="ar"/>
              </w:rPr>
              <w:t xml:space="preserve">人行栈道新建1.5米长（结合现场设备部署确定）塑木栈道，方便人员进出，塑木板材2.3厚；尺寸：1.5m*1m。</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042"/>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22</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系统对接及单点登入</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系统</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对接及单点登入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1、支持其他系统纳入统一身份认证，实现单点登录。</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2、所有监测数据要能够上传苏农云及采购人指定的相关系统，</w:t>
            </w:r>
            <w:r>
              <w:rPr>
                <w:rFonts w:hint="eastAsia" w:ascii="宋体" w:hAnsi="宋体" w:cs="宋体"/>
                <w:b/>
                <w:bCs/>
                <w:sz w:val="18"/>
                <w:szCs w:val="18"/>
                <w:lang w:bidi="ar"/>
              </w:rPr>
              <w:t xml:space="preserve">提供承诺函并加盖投标人公章。</w:t>
            </w:r>
            <w:r/>
          </w:p>
        </w:tc>
        <w:tc>
          <w:tcPr>
            <w:shd w:val="clear" w:color="auto" w:fill="auto"/>
            <w:tcW w:w="229" w:type="pct"/>
            <w:vAlign w:val="center"/>
            <w:textDirection w:val="lrTb"/>
            <w:noWrap/>
          </w:tcPr>
          <w:p>
            <w:pPr>
              <w:ind w:firstLine="90"/>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r>
      <w:tr>
        <w:trPr>
          <w:trHeight w:val="1113"/>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23</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植保无人机</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植保无人机（含播撒）</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最大起飞重量（最大喷洒起飞重量：126 kg，标配2喷头+ 70L作业箱）；最大轴距：2440 mm；可设置最大飞行半径：2km；最大可承受风速：三级风（&lt;6 m/s)；电机 KV 值：6565 (r/min)/V；作业载荷：70 KG；作业箱容积：70 L；播撒作业箱容积：100 L；最大排料量：400 kg/min（复合肥）；播撒作业箱内部最大载重：70kg；测距范围：60m。</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92"/>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24</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439" w:type="pct"/>
            <w:vAlign w:val="center"/>
            <w:textDirection w:val="lrTb"/>
            <w:noWrap w:val="false"/>
          </w:tcPr>
          <w:p>
            <w:pPr>
              <w:spacing w:line="220" w:lineRule="exact"/>
              <w:widowControl/>
              <w:rPr>
                <w:rFonts w:ascii="宋体" w:hAnsi="宋体" w:cs="宋体"/>
                <w:sz w:val="18"/>
                <w:szCs w:val="18"/>
              </w:rPr>
            </w:pPr>
            <w:r>
              <w:rPr>
                <w:rFonts w:hint="eastAsia" w:ascii="宋体" w:hAnsi="宋体" w:cs="宋体"/>
                <w:sz w:val="18"/>
                <w:szCs w:val="18"/>
              </w:rPr>
              <w:t xml:space="preserve">农机自动驾驶系统以北斗定位系统为核心技术支撑，可实现高精度定位与自动化作业控制，显著提升农机作业效率与精度，降低人工操作强度。</w:t>
            </w:r>
            <w:r/>
          </w:p>
        </w:tc>
        <w:tc>
          <w:tcPr>
            <w:shd w:val="clear" w:color="auto" w:fill="auto"/>
            <w:tcW w:w="229" w:type="pct"/>
            <w:vAlign w:val="center"/>
            <w:textDirection w:val="lrTb"/>
            <w:noWrap/>
          </w:tcPr>
          <w:p>
            <w:pPr>
              <w:jc w:val="center"/>
              <w:spacing w:line="220" w:lineRule="exact"/>
              <w:widowControl/>
              <w:rPr>
                <w:rFonts w:ascii="宋体" w:hAnsi="宋体" w:cs="宋体"/>
                <w:color w:val="ff0000"/>
                <w:sz w:val="18"/>
                <w:szCs w:val="18"/>
              </w:rPr>
            </w:pPr>
            <w:r>
              <w:rPr>
                <w:rFonts w:hint="eastAsia" w:ascii="宋体" w:hAnsi="宋体" w:cs="宋体"/>
                <w:sz w:val="18"/>
                <w:szCs w:val="18"/>
              </w:rPr>
              <w:t xml:space="preserve">3</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563"/>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25</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项目施工</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w:t>
            </w:r>
            <w:r/>
          </w:p>
          <w:p>
            <w:pPr>
              <w:jc w:val="center"/>
              <w:spacing w:line="220" w:lineRule="exact"/>
              <w:widowControl/>
              <w:rPr>
                <w:rFonts w:ascii="宋体" w:hAnsi="宋体" w:cs="宋体"/>
                <w:sz w:val="18"/>
                <w:szCs w:val="18"/>
              </w:rPr>
            </w:pPr>
            <w:r>
              <w:rPr>
                <w:rFonts w:hint="eastAsia" w:ascii="宋体" w:hAnsi="宋体" w:cs="宋体"/>
                <w:sz w:val="18"/>
                <w:szCs w:val="18"/>
              </w:rPr>
              <w:t xml:space="preserve">施工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1.示范种植区设备安装普通工费；</w:t>
            </w:r>
            <w:r/>
          </w:p>
          <w:p>
            <w:pPr>
              <w:jc w:val="left"/>
              <w:spacing w:line="220" w:lineRule="exact"/>
              <w:widowControl/>
              <w:rPr>
                <w:rFonts w:ascii="宋体" w:hAnsi="宋体" w:cs="宋体"/>
                <w:sz w:val="18"/>
                <w:szCs w:val="18"/>
              </w:rPr>
            </w:pPr>
            <w:r>
              <w:rPr>
                <w:rFonts w:hint="eastAsia" w:ascii="宋体" w:hAnsi="宋体" w:cs="宋体"/>
                <w:sz w:val="18"/>
                <w:szCs w:val="18"/>
              </w:rPr>
              <w:t xml:space="preserve">2.项目弱电施工，包括综合布线、监控系统、弱电系统集成等。</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项</w:t>
            </w:r>
            <w:r/>
          </w:p>
        </w:tc>
      </w:tr>
      <w:tr>
        <w:trPr>
          <w:trHeight w:val="8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26</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害虫性诱智能测报仪（核心产品）</w:t>
            </w:r>
            <w:r/>
          </w:p>
        </w:tc>
        <w:tc>
          <w:tcPr>
            <w:shd w:val="clear" w:color="auto" w:fill="auto"/>
            <w:tcW w:w="404"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▲1、设备符合《GB/T24689.1-2009植物保护机械 虫情测报灯》国家标准。（提供具有相关检测资质的国家权威机构出具的检测报告原件扫描件）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▲2、设备运行功率≤1W，待机功率≤0.5W。（提供具有相关检测资质的国家权威机构出具的检测报告原件扫描件）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3、设备应能识别包括但不限于稻纵卷叶螟、玉米螟、二化螟、大螟、斜纹夜蛾、甜菜夜蛾、草地贪夜蛾、粘虫、棉铃虫等主要害虫。设备实时监测数据可对接到电脑端数据分析平台。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4、害虫诱捕装置：诱捕器为PC材质，结构为反向三漏斗飞蛾类诱捕器。增加反向三漏斗蛾子防逃逸结构，整体横切面为梨形，纵切面似椅子形设计，增加害虫诱捕量。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电脑端数据分析平台具有，设备统计预览、设备分布、害虫预警设置、害虫监测、害虫趋势分析、多年同比分析等功能；能按害虫类别，地理区域筛选统计累计总数、平均数的趋势图。（提供软件平台应用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▲5.2、多维数据对比：支持不同诱捕器、不同区域、自定义分组及历史同期数据的对比分析。（提供具有相关检测资质的国家权威机构出具的检测报告原件扫描件）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5.3、卵、幼虫各龄期的短期预测：在全省、全市或自定义区域，依据未来15天气象数据的平均值和昆虫发育之间的关系，建立数学模型，预测下一代卵、幼虫各龄期的发生动态，并生成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5.4、田间成虫量的预测：基于该设备诱捕的雄成虫数量数据以及性比，基于数学算法模型，自动推算、预测田间实际的成虫总数量及相应的雌成虫数量。（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▲5.5、灯诱数据换算：基于数学算法模型，提供性诱数据与传统测报灯的灯下诱虫量换算功能。（提供具有相关检测资质的国家权威机构出具的检测报告原件扫描件）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▲5.7、自动生产植保虫情分析报告：支持客户自定义病虫情报模版，可生成并导出性诱虫情分析报告。（提供具有相关检测资质的国家权威机构出具的检测报告原件扫描件）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6、APP可查看时间段、每月、单日、每小时诱虫量数据。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▲7、设备可通过手机APP查看实时数据、历史数据。（以下手机APP功能均需提供软件平台截图）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7.1、APP支持Harmony鸿蒙、iOS苹果和Android安卓系统。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7.2、APP支持卵、幼虫各龄期的短期预测：依据未来15天气象数据的平均值和昆虫发育之间的关系，建立数学模型，预测下一代卵和幼虫各龄期的发生动态，并指导释放天敌和施药。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7.3、支持田间成虫量的预测：基于该设备诱捕的雄成虫数量数据以及性比，自动推算、预测田间实际的成虫总数量及相应的雌成虫数量。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7.4、具有灯诱数据换算：基于数学算法模型，提供性诱与传统测报灯（灯下诱虫量）的换算功能。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8、设备可查看预测未来2个月次代诱虫量，及发生动态，包括卵期、一二低龄龄幼虫期。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9、设备具有定位及导航、诱芯到期提醒等功能。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10、双计数系统：上下集虫器各带一个三层4对红外计数装置，自动计数进入集虫器的昆虫，计算总数后上传到服务器数据库。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11、自动计数功能：害虫经过红外感应器时，自动计数+1，间隔时间＜1S。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▲12、设备自动计数准确度不低于95%。（提供省级（含）以上农林业部门出具的应用证明或试验报告佐证）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13、终端储存发送功能：实时记录和存储诱捕器监测数据，储存时间≥12月。定时定向发送监测数据，同时具有自检、纠错功能。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14、网关数据接收功能：1小时/次接收终端数据，并通过无线网络发送到服务器。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15、网关和终端配置：一个网关可以配置多个终端。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设备采用太阳能板供电，单晶硅材质；功率：≥55W，可在-40°C-80°C气温下工作。蓄电池为锂电池，规格：12V,≥60Ah。连续阴雨天，设备正常运行不低于20天。设备立杆材质为喷塑铝管，整体高度不低于300CM，配防电机箱，材质 304不锈钢材质，外标防电标识，具防尘、防水功能。</w:t>
            </w:r>
            <w:r/>
          </w:p>
        </w:tc>
        <w:tc>
          <w:tcPr>
            <w:shd w:val="clear" w:color="auto" w:fill="auto"/>
            <w:tcW w:w="229"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bl>
    <w:p>
      <w:pPr>
        <w:rPr>
          <w:color w:val="000000" w:themeColor="text1"/>
        </w:rPr>
      </w:pPr>
      <w:r>
        <w:rPr>
          <w:color w:val="000000" w:themeColor="text1"/>
        </w:rPr>
      </w:r>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bookmarkEnd w:id="302"/>
      <w:r/>
      <w:bookmarkEnd w:id="303"/>
      <w:r/>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b/>
          <w:sz w:val="44"/>
          <w:szCs w:val="44"/>
        </w:rPr>
        <w:t xml:space="preserve">投标文件的编制要求及参考格式</w:t>
      </w:r>
      <w:bookmarkStart w:id="306" w:name="_Hlt26671244"/>
      <w:r/>
      <w:bookmarkStart w:id="307" w:name="_Hlt26955039"/>
      <w:r/>
      <w:bookmarkStart w:id="308" w:name="_Toc26554094"/>
      <w:r/>
      <w:bookmarkStart w:id="309" w:name="_Toc49090576"/>
      <w:r/>
      <w:bookmarkStart w:id="310" w:name="_Toc282446331"/>
      <w:r/>
      <w:bookmarkStart w:id="311" w:name="_Toc288030359"/>
      <w:r/>
      <w:bookmarkStart w:id="312" w:name="_Toc120614282"/>
      <w:r/>
      <w:bookmarkEnd w:id="306"/>
      <w:r/>
      <w:bookmarkEnd w:id="307"/>
      <w:r/>
      <w:r/>
    </w:p>
    <w:p>
      <w:pPr>
        <w:spacing w:line="500" w:lineRule="exact"/>
        <w:rPr>
          <w:rFonts w:ascii="黑体" w:hAnsi="黑体" w:eastAsia="黑体"/>
          <w:sz w:val="32"/>
          <w:szCs w:val="32"/>
        </w:rPr>
      </w:pPr>
      <w:r/>
      <w:bookmarkStart w:id="313"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13"/>
      <w:r/>
      <w:r/>
    </w:p>
    <w:p>
      <w:pPr>
        <w:ind w:firstLine="560"/>
        <w:spacing w:line="500" w:lineRule="exact"/>
        <w:rPr>
          <w:rFonts w:ascii="宋体"/>
          <w:sz w:val="28"/>
          <w:szCs w:val="28"/>
        </w:rPr>
      </w:pPr>
      <w:r/>
      <w:bookmarkStart w:id="314"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14"/>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15" w:name="OLE_LINK8"/>
      <w:r>
        <w:rPr>
          <w:rFonts w:hint="eastAsia" w:ascii="宋体" w:hAnsi="宋体" w:cs="宋体"/>
          <w:sz w:val="28"/>
          <w:szCs w:val="28"/>
        </w:rPr>
        <w:t xml:space="preserve">投标报价明细表</w:t>
      </w:r>
      <w:bookmarkEnd w:id="315"/>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316"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317" w:name="_Toc426469936"/>
      <w:r/>
      <w:bookmarkStart w:id="318" w:name="_Toc426469937"/>
      <w:r/>
      <w:bookmarkStart w:id="319" w:name="_Toc383679822"/>
      <w:r/>
      <w:bookmarkStart w:id="320" w:name="_Toc383587529"/>
      <w:r/>
      <w:bookmarkStart w:id="321" w:name="_Toc383626069"/>
      <w:r/>
      <w:bookmarkStart w:id="322" w:name="_Toc382811607"/>
      <w:r/>
      <w:bookmarkStart w:id="323" w:name="_Toc390246998"/>
      <w:r/>
      <w:bookmarkStart w:id="324" w:name="_Toc382812507"/>
      <w:r/>
      <w:bookmarkStart w:id="325" w:name="_Toc382811202"/>
      <w:r/>
      <w:bookmarkStart w:id="326" w:name="_Toc390099111"/>
      <w:r/>
      <w:bookmarkStart w:id="327" w:name="_Toc382814038"/>
      <w:r/>
      <w:bookmarkStart w:id="328" w:name="_Toc383623749"/>
      <w:r/>
      <w:bookmarkStart w:id="329" w:name="_Toc390098915"/>
      <w:r/>
      <w:bookmarkStart w:id="330" w:name="_Toc382813957"/>
      <w:r/>
      <w:bookmarkStart w:id="331" w:name="_Toc382812316"/>
      <w:r/>
      <w:bookmarkStart w:id="332" w:name="_Toc383698722"/>
      <w:r/>
      <w:bookmarkStart w:id="333" w:name="_Toc383624021"/>
      <w:r/>
      <w:bookmarkEnd w:id="308"/>
      <w:r/>
      <w:bookmarkEnd w:id="309"/>
      <w:r/>
      <w:bookmarkEnd w:id="310"/>
      <w:r/>
      <w:bookmarkEnd w:id="311"/>
      <w:r/>
      <w:bookmarkEnd w:id="312"/>
      <w:r/>
      <w:bookmarkEnd w:id="316"/>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17"/>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bookmarkStart w:id="334" w:name="OLE_LINK73"/>
      <w:r/>
      <w:bookmarkStart w:id="335" w:name="OLE_LINK72"/>
      <w:r>
        <w:rPr>
          <w:rFonts w:hint="eastAsia" w:ascii="宋体"/>
          <w:b/>
          <w:sz w:val="48"/>
          <w:szCs w:val="48"/>
        </w:rPr>
        <w:t xml:space="preserve">投标文件</w:t>
      </w:r>
      <w:r/>
    </w:p>
    <w:p>
      <w:pPr>
        <w:pStyle w:val="888"/>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34"/>
      <w:r/>
      <w:bookmarkEnd w:id="335"/>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18"/>
      <w:r/>
      <w:r/>
    </w:p>
    <w:p>
      <w:pPr>
        <w:ind w:firstLine="843"/>
        <w:spacing w:line="400" w:lineRule="exact"/>
        <w:rPr>
          <w:rFonts w:eastAsia="楷体"/>
          <w:b/>
          <w:sz w:val="28"/>
          <w:szCs w:val="28"/>
        </w:rPr>
      </w:pPr>
      <w:r/>
      <w:bookmarkStart w:id="336"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36"/>
      <w:r/>
      <w:r/>
    </w:p>
    <w:p>
      <w:pPr>
        <w:jc w:val="center"/>
        <w:rPr>
          <w:sz w:val="44"/>
          <w:szCs w:val="44"/>
        </w:rPr>
      </w:pPr>
      <w:r/>
      <w:bookmarkStart w:id="337" w:name="_Toc367785041"/>
      <w:r/>
      <w:bookmarkStart w:id="338" w:name="OLE_LINK89"/>
      <w:r/>
      <w:bookmarkStart w:id="339" w:name="OLE_LINK75"/>
      <w:r/>
      <w:bookmarkStart w:id="340" w:name="OLE_LINK74"/>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44"/>
          <w:szCs w:val="44"/>
        </w:rPr>
        <w:t xml:space="preserve">投</w:t>
      </w:r>
      <w:r>
        <w:rPr>
          <w:rFonts w:hint="eastAsia" w:ascii="宋体" w:hAnsi="宋体" w:cs="宋体"/>
          <w:sz w:val="44"/>
          <w:szCs w:val="44"/>
        </w:rPr>
        <w:t xml:space="preserve">标函</w:t>
      </w:r>
      <w:bookmarkEnd w:id="337"/>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1、如我方中标，我方将按招标文件的规定履行合同责任和义务。</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2、合同履行期限：</w:t>
      </w:r>
      <w:r>
        <w:rPr>
          <w:rFonts w:hint="eastAsia" w:ascii="宋体" w:hAnsi="宋体" w:cs="宋体"/>
          <w:sz w:val="28"/>
          <w:szCs w:val="28"/>
          <w:u w:val="single"/>
        </w:rPr>
        <w:t xml:space="preserve"> 合同签订后40日历天交付使用。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888"/>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338"/>
      <w:r/>
      <w:bookmarkEnd w:id="339"/>
      <w:r/>
      <w:bookmarkEnd w:id="340"/>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highlight w:val="yellow"/>
        </w:rPr>
      </w:pPr>
      <w:r>
        <w:rPr>
          <w:rFonts w:ascii="宋体" w:hAnsi="宋体" w:cs="宋体"/>
          <w:bCs/>
          <w:sz w:val="28"/>
          <w:szCs w:val="28"/>
          <w:highlight w:val="yellow"/>
        </w:rPr>
      </w:r>
      <w:r/>
    </w:p>
    <w:p>
      <w:pPr>
        <w:rPr>
          <w:color w:val="000000" w:themeColor="text1"/>
        </w:rPr>
      </w:pPr>
      <w:r/>
      <w:bookmarkStart w:id="341" w:name="OLE_LINK76"/>
      <w:r/>
      <w:bookmarkStart w:id="342" w:name="OLE_LINK77"/>
      <w:r/>
      <w:bookmarkStart w:id="343" w:name="OLE_LINK79"/>
      <w:r/>
      <w:bookmarkStart w:id="344" w:name="OLE_LINK78"/>
      <w:r>
        <w:rPr>
          <w:rFonts w:hint="eastAsia" w:ascii="宋体" w:hAnsi="宋体"/>
          <w:bCs/>
        </w:rPr>
        <w:t xml:space="preserve">                  投标报价明细表                       （单位：元） </w:t>
      </w:r>
      <w:r/>
    </w:p>
    <w:tbl>
      <w:tblPr>
        <w:tblW w:w="545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658"/>
        <w:gridCol w:w="609"/>
        <w:gridCol w:w="6240"/>
        <w:gridCol w:w="459"/>
        <w:gridCol w:w="379"/>
        <w:gridCol w:w="379"/>
        <w:gridCol w:w="383"/>
      </w:tblGrid>
      <w:tr>
        <w:trPr>
          <w:trHeight w:val="742"/>
        </w:trPr>
        <w:tc>
          <w:tcPr>
            <w:shd w:val="clear" w:color="auto" w:fill="e7e6e6"/>
            <w:tcW w:w="293"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序号</w:t>
            </w:r>
            <w:r/>
          </w:p>
        </w:tc>
        <w:tc>
          <w:tcPr>
            <w:shd w:val="clear" w:color="auto" w:fill="e7e6e6"/>
            <w:tcW w:w="340"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项目名称</w:t>
            </w:r>
            <w:r/>
          </w:p>
        </w:tc>
        <w:tc>
          <w:tcPr>
            <w:shd w:val="clear" w:color="auto" w:fill="e7e6e6"/>
            <w:tcW w:w="315"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设备名称</w:t>
            </w:r>
            <w:r/>
          </w:p>
        </w:tc>
        <w:tc>
          <w:tcPr>
            <w:shd w:val="clear" w:color="auto" w:fill="e7e6e6"/>
            <w:tcW w:w="3223"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参数</w:t>
            </w:r>
            <w:r/>
          </w:p>
        </w:tc>
        <w:tc>
          <w:tcPr>
            <w:shd w:val="clear" w:color="auto" w:fill="e7e6e6"/>
            <w:tcW w:w="237"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数量</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单位</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单价</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合价</w:t>
            </w:r>
            <w:r/>
          </w:p>
        </w:tc>
      </w:tr>
      <w:tr>
        <w:trPr>
          <w:trHeight w:val="5638"/>
        </w:trPr>
        <w:tc>
          <w:tcPr>
            <w:shd w:val="clear" w:color="auto" w:fill="auto"/>
            <w:tcW w:w="293"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340"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监测</w:t>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监测站</w:t>
            </w:r>
            <w:r/>
          </w:p>
        </w:tc>
        <w:tc>
          <w:tcPr>
            <w:shd w:val="clear" w:color="auto" w:fill="auto"/>
            <w:tcW w:w="3223" w:type="pct"/>
            <w:vAlign w:val="center"/>
            <w:textDirection w:val="lrTb"/>
            <w:noWrap w:val="false"/>
          </w:tcPr>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土壤温湿度传感器：通过实时监测土壤温湿度情况，可以帮助种植户及时了解田间土壤墒情状况，合理施肥、灌溉，提高农作物的产量和品质。土壤湿度测量范围：0 - 100 %；土壤温度测量范围：-40 - 80 ºC。</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土壤pH值传感器：实时监测土壤pH情况，助力种植户及时了解田间土壤酸碱度状况，及时介入调控，助力农作物增产提质。量程：0~14PH；</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氮磷钾传感器：实时监测土壤氮磷钾情况，助力种植户及时了解田间土壤肥力状况，合理施肥，助力农作物增产提质。量程：0-1999mg/kg；</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管式多层土壤墒情监测仪：测量各土层温度。默认同时测量10cm（0cm-20cm）、30cm（20cm-40cm）、50cm（40cm-60cm)、80cm（60cm-100cm)土层的温度和湿度，适用于具有代表性土壤的长期不间断监测:</w:t>
            </w:r>
            <w:r>
              <w:rPr>
                <w:rFonts w:hint="eastAsia" w:ascii="宋体" w:hAnsi="宋体" w:cs="宋体"/>
                <w:sz w:val="18"/>
                <w:szCs w:val="18"/>
                <w:lang w:bidi="ar"/>
              </w:rPr>
              <w:br/>
              <w:t xml:space="preserve">4-1、土壤水分(体积含水量)测量范围:干土~水分饱和土，实验室测量精度:±3%，野外测量精度:±5%，湿度分辨率:0.1%；</w:t>
            </w:r>
            <w:r>
              <w:rPr>
                <w:rFonts w:hint="eastAsia" w:ascii="宋体" w:hAnsi="宋体" w:cs="宋体"/>
                <w:sz w:val="18"/>
                <w:szCs w:val="18"/>
                <w:lang w:bidi="ar"/>
              </w:rPr>
              <w:br/>
              <w:t xml:space="preserve">4-2、温度测量范围:-40℃~80℃，测量精度±2℃，温度分辨率:0.1°C；</w:t>
            </w:r>
            <w:r>
              <w:rPr>
                <w:rFonts w:hint="eastAsia" w:ascii="宋体" w:hAnsi="宋体" w:cs="宋体"/>
                <w:sz w:val="18"/>
                <w:szCs w:val="18"/>
                <w:lang w:bidi="ar"/>
              </w:rPr>
              <w:br/>
              <w:t xml:space="preserve">4-3、供电方式:太阳能供电;</w:t>
            </w:r>
            <w:r>
              <w:rPr>
                <w:rFonts w:hint="eastAsia" w:ascii="宋体" w:hAnsi="宋体" w:cs="宋体"/>
                <w:sz w:val="18"/>
                <w:szCs w:val="18"/>
                <w:lang w:bidi="ar"/>
              </w:rPr>
              <w:br/>
              <w:t xml:space="preserve">4-4、通讯方式:RS485通讯，MODBUS通讯协议，(波特率9600可设，地址0-255可设)；</w:t>
            </w:r>
            <w:r>
              <w:rPr>
                <w:rFonts w:hint="eastAsia" w:ascii="宋体" w:hAnsi="宋体" w:cs="宋体"/>
                <w:sz w:val="18"/>
                <w:szCs w:val="18"/>
                <w:lang w:bidi="ar"/>
              </w:rPr>
              <w:br/>
              <w:t xml:space="preserve">4-5、GPRS无线通讯。</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数据采集终端：采集模块，通过无线方式组建的局域网，将数据传输到数据采集网关位置，再由数据采集网关上传到云端，实现数据云监测。</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太阳能供电：传感器供电，太阳能板30W，电池12V9A。</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监测立杆：立杆高度1.5米，热镀锌防腐处理。</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监测柜：防水设计 300mm*250mm*150mm（含内部插座、空开等电器件）。</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混凝土地基：立杆水泥地基，含地笼。</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支架等辅材：配套安装需要的电线、套管、支架等辅材材料。</w:t>
            </w:r>
            <w:r/>
          </w:p>
          <w:p>
            <w:pPr>
              <w:jc w:val="left"/>
              <w:spacing w:line="220" w:lineRule="exact"/>
              <w:widowControl/>
              <w:rPr>
                <w:sz w:val="18"/>
                <w:szCs w:val="18"/>
              </w:rPr>
            </w:pPr>
            <w:r>
              <w:rPr>
                <w:rFonts w:hint="eastAsia" w:ascii="宋体" w:hAnsi="宋体" w:cs="宋体"/>
                <w:sz w:val="18"/>
                <w:szCs w:val="18"/>
                <w:lang w:bidi="ar"/>
              </w:rPr>
              <w:t xml:space="preserve">11、通讯模块：物联网专用卡1G/月,3年。</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90"/>
        </w:trPr>
        <w:tc>
          <w:tcPr>
            <w:shd w:val="clear" w:color="auto" w:fill="auto"/>
            <w:tcW w:w="293"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340"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气象监测</w:t>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农业小环境气象监测站</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1、气象七合一传感器：1-1.气象站具备IP67级别防水，12-24V DC。</w:t>
            </w:r>
            <w:r>
              <w:rPr>
                <w:rFonts w:hint="eastAsia" w:ascii="宋体" w:hAnsi="宋体" w:cs="宋体"/>
                <w:color w:val="000000" w:themeColor="text1"/>
                <w:sz w:val="18"/>
                <w:szCs w:val="18"/>
                <w:lang w:bidi="ar"/>
              </w:rPr>
              <w:br/>
              <w:t xml:space="preserve">1-2.风速：测量范围0-75 m/s，分辨率 0.1 m/s，测量精度±0.1 m/s。</w:t>
            </w:r>
            <w:r>
              <w:rPr>
                <w:rFonts w:hint="eastAsia" w:ascii="宋体" w:hAnsi="宋体" w:cs="宋体"/>
                <w:color w:val="000000" w:themeColor="text1"/>
                <w:sz w:val="18"/>
                <w:szCs w:val="18"/>
                <w:lang w:bidi="ar"/>
              </w:rPr>
              <w:br/>
              <w:t xml:space="preserve">1-3.风向：测量范围0°~ 360°，分辨率 0.1°，测量精度±1°。 </w:t>
            </w:r>
            <w:r>
              <w:rPr>
                <w:rFonts w:hint="eastAsia" w:ascii="宋体" w:hAnsi="宋体" w:cs="宋体"/>
                <w:color w:val="000000" w:themeColor="text1"/>
                <w:sz w:val="18"/>
                <w:szCs w:val="18"/>
                <w:lang w:bidi="ar"/>
              </w:rPr>
              <w:br/>
              <w:t xml:space="preserve">1-4.大气压力：测量范围 300-1250 hPa，分辨率0.1 hPa ，测量精度±1hPa 。</w:t>
            </w:r>
            <w:r>
              <w:rPr>
                <w:rFonts w:hint="eastAsia" w:ascii="宋体" w:hAnsi="宋体" w:cs="宋体"/>
                <w:color w:val="000000" w:themeColor="text1"/>
                <w:sz w:val="18"/>
                <w:szCs w:val="18"/>
                <w:lang w:bidi="ar"/>
              </w:rPr>
              <w:br/>
              <w:t xml:space="preserve">1-5.空气温度:温度范围-40°C～85℃，分辨率0.01℃ ，测量精度 ±0.1℃。</w:t>
            </w:r>
            <w:r>
              <w:rPr>
                <w:rFonts w:hint="eastAsia" w:ascii="宋体" w:hAnsi="宋体" w:cs="宋体"/>
                <w:color w:val="000000" w:themeColor="text1"/>
                <w:sz w:val="18"/>
                <w:szCs w:val="18"/>
                <w:lang w:bidi="ar"/>
              </w:rPr>
              <w:br/>
              <w:t xml:space="preserve">1-6.空气湿度:湿度测量范围0-100%RH ，分辨率0.01%RH ，测量精度±1.5%RH。</w:t>
            </w:r>
            <w:r>
              <w:rPr>
                <w:rFonts w:hint="eastAsia" w:ascii="宋体" w:hAnsi="宋体" w:cs="宋体"/>
                <w:color w:val="000000" w:themeColor="text1"/>
                <w:sz w:val="18"/>
                <w:szCs w:val="18"/>
                <w:lang w:bidi="ar"/>
              </w:rPr>
              <w:br/>
              <w:t xml:space="preserve">1-7.光照强度：测量范围0-20W Lux，分辨率1 Lux ，测量精度±2%。</w:t>
            </w:r>
            <w:r>
              <w:rPr>
                <w:rFonts w:hint="eastAsia" w:ascii="宋体" w:hAnsi="宋体" w:cs="宋体"/>
                <w:color w:val="000000" w:themeColor="text1"/>
                <w:sz w:val="18"/>
                <w:szCs w:val="18"/>
                <w:lang w:bidi="ar"/>
              </w:rPr>
              <w:br/>
              <w:t xml:space="preserve">1-8.雨量：测量范围0-9999mm，分辨率0.1mm ，测量精度±0.1mm。</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2、数据采集终端：采集模块，通过无线方式组建的局域网，将数据传输到数据采集网关位置，再由数据采集网关上传到云端，实现数据云监测。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3、设备监测箱：防水设计300mm*400mm*180mm（含内部插座、空开等电器件）。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4、专用立杆：立杆高度 3 米，热镀锌防腐处理。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5、太阳能供电：DC24V太阳能板。100A蓄电池，蓄电池盒。</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6、通讯模块：物联网专用卡1G/月,3年。</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701" w:hRule="exact"/>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现场数据展示屏</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室外大田数据显示屏</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输出信号：RS485(标准ModBus通讯协议)。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显示屏尺寸：1.05米*0.57米。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规格：320*160模组，单块分辨率32*16。</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分辨率：整屏分辨率96*48。</w:t>
            </w:r>
            <w:r/>
          </w:p>
          <w:p>
            <w:pPr>
              <w:jc w:val="left"/>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7535"/>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5G智能无人巡田眼</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固定高清鹰眼摄像头</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1600万180°鹰眼_400万40倍_卫星定位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 无盲区球型鹰眼，全景采用4个F1.0大光圈全彩镜头拼接而成，可输出180°大场景拼接画面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全景画面可支持关注区域畸变矫正，细节内置40倍变焦镜头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全景智能：Smart事件、人员密度、车辆拥堵；细节智能：全结构化、Smart事件、普通监控（高帧率）；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1、全景摄像机 4个1/1.8＂ 4MP Progressive Scan CMOS，最高分辨率及帧率可达6072x2640@30fps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视场角：水平180°，垂直110°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星光级超低照度，0.0005Lux/F1.0（彩色），0.0001Lux/F1.0（黑白）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2、细节摄像机 1/1.8＂ 4MP Progressive Scan CMOS，最高分辨率及帧率可达2688x1520@30fps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40倍光学变倍，16倍数字变倍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水平360°连续旋转，垂直-15°-90°（自动翻转）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采用高效红外阵列，低功耗，照射距离最远可达300m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【全景】支持人员密度检测功能，检测覆盖范围半径100米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【全景】支持车辆拥堵检测功能，检测覆盖范围半径150米，推荐：在封闭式道路中可以做拥堵事件检测，推荐在高速、环线、快速路或者主干线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【细节】支持全结构化：支持细节路混合目标检测，对检测区域内的人、非机动车、车进行同时抓拍上传，人脸人体关联输出，并实现对人脸、人体、车辆结构化属性特征信息提取</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支持点击联动功能，通过在客户端点击或者框选全景摄像机画面任意位置，细节跟踪摄像机可自动通过云台调整与变焦，将该区域置于画面中心。</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支持目标自动跟踪功能，通过设置智能事件规则，对设定区域内触发事件的运动目标在设定的跟踪时间内进行持续稳定跟踪。并可在跟踪过程中手动切换跟踪目标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支持手动选择跟踪目标，在设定跟踪时间内进行持续稳定跟踪</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光口（FC）+电口(RJ-45)网络接口设计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支持GB35114A级安全加密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AI-ISP：细节球机采用去噪卷积神经网络将深度结构、学习算法用于图像去噪，最终使画面成像更新清晰，噪点更小图像更干净</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支持北斗卫星定位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传感器类型：【全景】1/1.8＂ progressive scan CMOS,【细节】1/1.8＂ progressive scan CMOS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最低照度：【全景】0.0005Lux/F1.0（彩色），0.0001Lux/F1.0（黑白）；【细节】星光级超低照度，0.0005Lux/F1.2（彩色），0.0001Lux/F1.2（黑白），0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宽动态：全景不支持，细节支持120dB超宽动态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光学变倍：40倍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焦距：【全景】2 mm；【细节】6~240 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视场角：水平视场角</w:t>
            </w:r>
            <w:r>
              <w:rPr>
                <w:rFonts w:hint="eastAsia" w:ascii="宋体" w:hAnsi="宋体" w:cs="宋体"/>
                <w:sz w:val="18"/>
                <w:szCs w:val="18"/>
                <w:lang w:bidi="ar"/>
              </w:rPr>
              <w:tab/>
              <w:t xml:space="preserve">56.6-1.8度(广角-望远)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垂直视场角</w:t>
            </w:r>
            <w:r>
              <w:rPr>
                <w:rFonts w:hint="eastAsia" w:ascii="宋体" w:hAnsi="宋体" w:cs="宋体"/>
                <w:sz w:val="18"/>
                <w:szCs w:val="18"/>
                <w:lang w:bidi="ar"/>
              </w:rPr>
              <w:tab/>
              <w:t xml:space="preserve">33.7-1.0度(广角-望远)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对角线视场角</w:t>
            </w:r>
            <w:r>
              <w:rPr>
                <w:rFonts w:hint="eastAsia" w:ascii="宋体" w:hAnsi="宋体" w:cs="宋体"/>
                <w:sz w:val="18"/>
                <w:szCs w:val="18"/>
                <w:lang w:bidi="ar"/>
              </w:rPr>
              <w:tab/>
              <w:t xml:space="preserve">63.4-2.0度(广角-望远)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红外照射距离：300m  防补光过曝：支持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水平范围：360°垂直范围：-15°-90°(自动翻转)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水平速度：水平键控速度：0.1°-500°/s,速度可设;水平预置点速度：500°/s 垂直速度：垂直键控速度：0.1°-350°/s,速度可设;垂直预置点速度：350°/s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主码流帧率分辨率：全景：50Hz: 25fps (6072x2640,5520×2400, 4096×1800,3840×1680, 2784×1200) 60Hz: 30fps (6072x2640，5520×2400, 4096×1800，3840×1680, 2784×1200)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细节：50Hz:25fps (2688x1520，2560x1440,1920×1080,1280×960,1280x720) 60Hz:30fps （2688x1520，2560x1440,1920x1080,1280x960,1280x720)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视频压缩标准：H.265;H.264;MJPEG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卫星定位：支持北斗卫星定位 陀螺仪：支持 电子罗盘：支持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网络接口：RJ45网口;自适应10M/100M/1000M网络数据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光纤接口：FC接口;内置光纤模块;波长TX1310/RX1550nm;20km传输距离;单模单纤;1000M网络数据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SD卡扩展：内置Micro SD卡插槽，支持Micro SD/Micro SDHC/Micro SDXC卡（最大支持512G）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报警：7路报警输入，2路报警输出 音频：1路音频输入，1路音频输出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RS485接口：采用半双工模式，支持自适应HIKVISION，PELCO-P和PELCO-D(可添加)协议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供电方式：DC36V；  整机平均功耗75w.最大功耗 90w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工作温湿度：-40℃-70℃;湿度小于90%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恢复出厂设置：支持 除雾：支持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尺寸：Φ427.6x425.9mm 重量：净重 14.6kg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防护：IP67; 6000V 防雷、防浪涌、防突波，符合GB/T17626.2/3/4/5/6四级标准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▲全景通道最高分辨率不小于6072 x 2640，细节通道最高分辨率不小于2688 × 1520。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▲全景通道内置4个镜头、靶面尺寸不小于1/1.8英寸的CMOS传感器，细节通道内置1个镜头，靶面尺寸不小于1/1.8英寸的CMOS传感器。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▲设备在全景拼接模式下，垂直视场角不小于110°，水平视场角不小于180°。可将4个全景视频图像进行拼接，实现不小于180°拼接画面显示，并抓拍拼接后的图片。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注：带▲号条款须提供公安部出具的检验报告证明原件扫描件。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附件及辅材：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专用支架：鹰眼高清摄像机专用支架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硬盘录像机：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存储接口：5个SATA接口，支持满配20TB硬盘；</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视频接口：2×HDMI，1×VGA。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网络接口：2×RJ45 10/100/1000Mbps自适应以太网口</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报警接口：16路报警输入，4路报警输出。</w:t>
            </w:r>
            <w:r>
              <w:rPr>
                <w:rFonts w:hint="eastAsia" w:ascii="宋体" w:hAnsi="宋体" w:cs="宋体"/>
                <w:sz w:val="18"/>
                <w:szCs w:val="18"/>
                <w:lang w:bidi="ar"/>
              </w:rPr>
              <w:br/>
              <w:t xml:space="preserve">反向供电：1路DC12V 1A</w:t>
            </w:r>
            <w:r>
              <w:rPr>
                <w:rFonts w:hint="eastAsia" w:ascii="宋体" w:hAnsi="宋体" w:cs="宋体"/>
                <w:sz w:val="18"/>
                <w:szCs w:val="18"/>
                <w:lang w:bidi="ar"/>
              </w:rPr>
              <w:br/>
              <w:t xml:space="preserve">串行接口：1路RS-232接口，1路全双工RS-485接口</w:t>
            </w:r>
            <w:r>
              <w:rPr>
                <w:rFonts w:hint="eastAsia" w:ascii="宋体" w:hAnsi="宋体" w:cs="宋体"/>
                <w:sz w:val="18"/>
                <w:szCs w:val="18"/>
                <w:lang w:bidi="ar"/>
              </w:rPr>
              <w:br/>
              <w:t xml:space="preserve">USB接口：2×USB 2.0，1×USB 3.0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硬盘：8T数据硬盘；交换机：5口千兆交换机；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立杆：立杆，高度9米，主杆板厚8mm；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混凝土基础：立杆水泥地基，含地笼等预埋件，C25混凝土。</w:t>
            </w:r>
            <w:r/>
          </w:p>
          <w:p>
            <w:pPr>
              <w:jc w:val="left"/>
              <w:spacing w:line="220" w:lineRule="exact"/>
              <w:widowControl/>
              <w:rPr>
                <w:sz w:val="18"/>
                <w:szCs w:val="18"/>
              </w:rPr>
            </w:pPr>
            <w:r>
              <w:rPr>
                <w:rFonts w:hint="eastAsia" w:ascii="宋体" w:hAnsi="宋体" w:cs="宋体"/>
                <w:sz w:val="18"/>
                <w:szCs w:val="18"/>
                <w:lang w:bidi="ar"/>
              </w:rPr>
              <w:t xml:space="preserve">熔纤盒（含尾纤）；千兆光纤收发器；室外4星光纤。 </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4945"/>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农情、苗情监测站</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智能高速球型摄像机</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400万像素红外网络高清球机， 支持4G（移动、联通，电信）网络传输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支持1/2.8" 400万23倍光学变焦镜头，采用高效补光阵列，低功耗，红外补光100m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适用于农田、森林，河道、水库、矿区、野外等场景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可对镜头前盖玻璃进行加热，去除玻璃上的冰状和水状附着物。</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支持超低照度，0.005 Lux @F1.6（彩色），0.001 Lux @F1.6（黑白），0 Lux with IR</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配件：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球机专用立杆：高度 5 米，热镀锌防腐处理。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 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太阳能板：传感器供电，太阳能板50W。储能电池：100A蓄电池。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存储卡：256G视频存储卡。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视频流量卡：10G/月，3年。</w:t>
            </w:r>
            <w:r/>
          </w:p>
          <w:p>
            <w:pPr>
              <w:jc w:val="left"/>
              <w:spacing w:line="220" w:lineRule="exact"/>
              <w:widowControl/>
              <w:rPr>
                <w:sz w:val="18"/>
                <w:szCs w:val="18"/>
              </w:rPr>
            </w:pPr>
            <w:r>
              <w:rPr>
                <w:rFonts w:hint="eastAsia" w:ascii="宋体" w:hAnsi="宋体" w:cs="宋体"/>
                <w:sz w:val="18"/>
                <w:szCs w:val="18"/>
                <w:lang w:bidi="ar"/>
              </w:rPr>
              <w:t xml:space="preserve">基础设施：水泥地基，含地笼等预埋件，尺寸：80cm*60cm*60cm；C25混凝土。配套管线等辅材。</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color w:val="000000" w:themeColor="text1"/>
                <w:sz w:val="18"/>
                <w:szCs w:val="18"/>
                <w:lang w:bidi="ar"/>
              </w:rPr>
              <w:t xml:space="preserve">22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945"/>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p>
            <w:pPr>
              <w:pStyle w:val="883"/>
              <w:jc w:val="center"/>
              <w:rPr>
                <w:color w:val="auto"/>
                <w:sz w:val="18"/>
                <w:szCs w:val="18"/>
              </w:rPr>
            </w:pPr>
            <w:r>
              <w:rPr>
                <w:rFonts w:hint="eastAsia"/>
                <w:color w:val="auto"/>
                <w:sz w:val="18"/>
                <w:szCs w:val="18"/>
              </w:rPr>
              <w:t xml:space="preserve">6</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农业遥感无人机（含机巢及数据分析管理系统）</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集成1个2000万像素可见光相机及4个500万像素的多光谱相机(绿光、红光，红边及近红外)，实现自动巡田，作物生长检测等应用。</w:t>
            </w:r>
            <w:r/>
          </w:p>
          <w:p>
            <w:pPr>
              <w:jc w:val="left"/>
              <w:spacing w:line="220" w:lineRule="exact"/>
              <w:widowControl/>
              <w:rPr>
                <w:rFonts w:ascii="宋体" w:hAnsi="宋体" w:cs="宋体"/>
                <w:sz w:val="18"/>
                <w:szCs w:val="18"/>
              </w:rPr>
            </w:pPr>
            <w:r>
              <w:rPr>
                <w:rFonts w:hint="eastAsia" w:ascii="宋体" w:hAnsi="宋体" w:cs="宋体"/>
                <w:sz w:val="18"/>
                <w:szCs w:val="18"/>
              </w:rPr>
              <w:t xml:space="preserve">1 、飞行器</w:t>
            </w:r>
            <w:r/>
          </w:p>
          <w:p>
            <w:pPr>
              <w:jc w:val="left"/>
              <w:spacing w:line="220" w:lineRule="exact"/>
              <w:widowControl/>
              <w:rPr>
                <w:rFonts w:ascii="宋体" w:hAnsi="宋体" w:cs="宋体"/>
                <w:sz w:val="18"/>
                <w:szCs w:val="18"/>
              </w:rPr>
            </w:pPr>
            <w:r>
              <w:rPr>
                <w:rFonts w:hint="eastAsia" w:ascii="宋体" w:hAnsi="宋体" w:cs="宋体"/>
                <w:sz w:val="18"/>
                <w:szCs w:val="18"/>
              </w:rPr>
              <w:t xml:space="preserve">起飞重量（无配件）：≤1000g；折叠后尺寸（长×宽×高）：≤225×100×130mm；对角线轴距：≥380 mm；最大信号有效距离（无干扰、无遮挡）：≥15km；最长飞行时间：≥40 分钟；最大可抗风速：≥12m/s；</w:t>
            </w:r>
            <w:r/>
          </w:p>
          <w:p>
            <w:pPr>
              <w:jc w:val="left"/>
              <w:spacing w:line="220" w:lineRule="exact"/>
              <w:widowControl/>
              <w:rPr>
                <w:rFonts w:ascii="宋体" w:hAnsi="宋体" w:cs="宋体"/>
                <w:sz w:val="18"/>
                <w:szCs w:val="18"/>
              </w:rPr>
            </w:pPr>
            <w:r>
              <w:rPr>
                <w:rFonts w:hint="eastAsia" w:ascii="宋体" w:hAnsi="宋体" w:cs="宋体"/>
                <w:sz w:val="18"/>
                <w:szCs w:val="18"/>
              </w:rPr>
              <w:t xml:space="preserve">全向感知系统：飞行器的前、后、左、右、上、下均具备视觉或红外避障传感器，能够在探测到障碍物时在App上进行提醒，并自动减速刹车；</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GNSS：支持GPS+GLONASS+BEIDOU，支持单北斗模式；</w:t>
            </w:r>
            <w:r/>
          </w:p>
          <w:p>
            <w:pPr>
              <w:jc w:val="left"/>
              <w:spacing w:line="220" w:lineRule="exact"/>
              <w:widowControl/>
              <w:rPr>
                <w:rFonts w:ascii="宋体" w:hAnsi="宋体" w:cs="宋体"/>
                <w:sz w:val="18"/>
                <w:szCs w:val="18"/>
              </w:rPr>
            </w:pPr>
            <w:r>
              <w:rPr>
                <w:rFonts w:hint="eastAsia" w:ascii="宋体" w:hAnsi="宋体" w:cs="宋体"/>
                <w:sz w:val="18"/>
                <w:szCs w:val="18"/>
              </w:rPr>
              <w:t xml:space="preserve">工作环境温度：工作温度范围覆盖-10°C 至 40°C；</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GNSS定位悬停精度：垂直≤0.5 m，水平≤0.5 m；</w:t>
            </w:r>
            <w:r/>
          </w:p>
          <w:p>
            <w:pPr>
              <w:jc w:val="left"/>
              <w:spacing w:line="220" w:lineRule="exact"/>
              <w:widowControl/>
              <w:rPr>
                <w:rFonts w:ascii="宋体" w:hAnsi="宋体" w:cs="宋体"/>
                <w:sz w:val="18"/>
                <w:szCs w:val="18"/>
              </w:rPr>
            </w:pPr>
            <w:r>
              <w:rPr>
                <w:rFonts w:hint="eastAsia" w:ascii="宋体" w:hAnsi="宋体" w:cs="宋体"/>
                <w:sz w:val="18"/>
                <w:szCs w:val="18"/>
              </w:rPr>
              <w:t xml:space="preserve">视觉定位悬停精度：垂直≤0.1 m，水平≤0.1 m；</w:t>
            </w:r>
            <w:r/>
          </w:p>
          <w:p>
            <w:pPr>
              <w:jc w:val="left"/>
              <w:spacing w:line="220" w:lineRule="exact"/>
              <w:widowControl/>
              <w:rPr>
                <w:rFonts w:ascii="宋体" w:hAnsi="宋体" w:cs="宋体"/>
                <w:sz w:val="18"/>
                <w:szCs w:val="18"/>
              </w:rPr>
            </w:pPr>
            <w:r>
              <w:rPr>
                <w:rFonts w:hint="eastAsia" w:ascii="宋体" w:hAnsi="宋体" w:cs="宋体"/>
                <w:sz w:val="18"/>
                <w:szCs w:val="18"/>
              </w:rPr>
              <w:t xml:space="preserve">展开时间：从携行状态到起飞状态的展开时间≤30s；</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最大上升速度：≥6 m/s；最大下降速度：≥6 m/s ；</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最大水平飞行速度：≥15m/s；最大飞行海拔高度：≥6000 米；</w:t>
            </w:r>
            <w:r/>
          </w:p>
          <w:p>
            <w:pPr>
              <w:jc w:val="left"/>
              <w:spacing w:line="220" w:lineRule="exact"/>
              <w:widowControl/>
              <w:rPr>
                <w:rFonts w:ascii="宋体" w:hAnsi="宋体" w:cs="宋体"/>
                <w:sz w:val="18"/>
                <w:szCs w:val="18"/>
              </w:rPr>
            </w:pPr>
            <w:r>
              <w:rPr>
                <w:rFonts w:hint="eastAsia" w:ascii="宋体" w:hAnsi="宋体" w:cs="宋体"/>
                <w:sz w:val="18"/>
                <w:szCs w:val="18"/>
              </w:rPr>
              <w:t xml:space="preserve">降落保护：在自主降落过程中，无人机飞行器能够检测下方地形.当下方地形为不平整地面或水面，飞行器保持悬停，同时通过地面站软件向用户发出警示信息；</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具备飞行器自检功能；具备低电量自动返航功能；具备信号丢失自动返航功能。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2 、可见光相机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可见光相机CMOS：具备可见光测绘相机，相机CMOS不低于4/3英寸；</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可见光相机像素：有效像素不低于2000万；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可见光相机像元尺寸：像元尺寸不小于3.3um；</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可见光相机机械快门：相机具有机械快门；</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可见光相机连续拍照间隔：最短连续拍照间隔不低于0.7秒；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可见光相机内参标定：提供内参标定参数。</w:t>
            </w:r>
            <w:r/>
          </w:p>
          <w:p>
            <w:pPr>
              <w:jc w:val="left"/>
              <w:spacing w:line="220" w:lineRule="exact"/>
              <w:widowControl/>
              <w:rPr>
                <w:rFonts w:ascii="宋体" w:hAnsi="宋体" w:cs="宋体"/>
                <w:sz w:val="18"/>
                <w:szCs w:val="18"/>
              </w:rPr>
            </w:pPr>
            <w:r>
              <w:rPr>
                <w:rFonts w:hint="eastAsia" w:ascii="宋体" w:hAnsi="宋体" w:cs="宋体"/>
                <w:sz w:val="18"/>
                <w:szCs w:val="18"/>
              </w:rPr>
              <w:t xml:space="preserve">3 、多光谱相机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多光谱相机：除可见光相机外，应具备绿、红、红边、近红外多光谱相机；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多光谱相机有效像素：多光谱相机有效像素不低于500万；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绿波段多光谱相机波段范围：绿波段多光谱相机波段在560nm±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红波段多光谱相机波段范围：红波段多光谱相机波段在650nm±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红边波段多光谱相机波段范围：红边波段多光谱相机波段在730nm±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近红外波段多光谱相机波段范围：近红外波段多光谱相机波段在860nm±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4 、航线软件功能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航线功能：支持航点、正射、倾斜、航带、仿地等多种航线作业类型；</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实时仿地：无人机可实现自主实时仿地；</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实时NDVI：支持实时NDVI植被指数查看；</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可见光测绘：可单独使用可见光相机进行测绘作业；</w:t>
            </w:r>
            <w:r/>
          </w:p>
          <w:p>
            <w:pPr>
              <w:jc w:val="left"/>
              <w:spacing w:line="220" w:lineRule="exact"/>
              <w:widowControl/>
              <w:rPr>
                <w:rFonts w:ascii="宋体" w:hAnsi="宋体" w:cs="宋体"/>
                <w:sz w:val="18"/>
                <w:szCs w:val="18"/>
              </w:rPr>
            </w:pPr>
            <w:r>
              <w:rPr>
                <w:rFonts w:hint="eastAsia" w:ascii="宋体" w:hAnsi="宋体" w:cs="宋体"/>
                <w:sz w:val="18"/>
                <w:szCs w:val="18"/>
              </w:rPr>
              <w:t xml:space="preserve">密码保护:支持通过密码保护无人机机身存储的图像视频数据；</w:t>
            </w:r>
            <w:r/>
          </w:p>
          <w:p>
            <w:pPr>
              <w:jc w:val="left"/>
              <w:spacing w:line="220" w:lineRule="exact"/>
              <w:widowControl/>
              <w:rPr>
                <w:rFonts w:ascii="宋体" w:hAnsi="宋体" w:cs="宋体"/>
                <w:sz w:val="18"/>
                <w:szCs w:val="18"/>
              </w:rPr>
            </w:pPr>
            <w:r>
              <w:rPr>
                <w:rFonts w:hint="eastAsia" w:ascii="宋体" w:hAnsi="宋体" w:cs="宋体"/>
                <w:sz w:val="18"/>
                <w:szCs w:val="18"/>
              </w:rPr>
              <w:t xml:space="preserve">5、图传：工作频段：支持2.4G、5.8G图传；4G增强图传：支持4G dongle。</w:t>
            </w:r>
            <w:r/>
          </w:p>
          <w:p>
            <w:pPr>
              <w:jc w:val="left"/>
              <w:spacing w:line="220" w:lineRule="exact"/>
              <w:widowControl/>
              <w:rPr>
                <w:rFonts w:ascii="宋体" w:hAnsi="宋体" w:cs="宋体"/>
                <w:sz w:val="18"/>
                <w:szCs w:val="18"/>
              </w:rPr>
            </w:pPr>
            <w:r>
              <w:rPr>
                <w:rFonts w:hint="eastAsia" w:ascii="宋体" w:hAnsi="宋体" w:cs="宋体"/>
                <w:sz w:val="18"/>
                <w:szCs w:val="18"/>
              </w:rPr>
              <w:t xml:space="preserve">6、堵转保护：正在空转的电机被堵转后，1 秒内驱动器应切入保护状态，将电流降低到安全电流内。整个过程中驱动器应保证超过安全电流的时间总和不超过 0.2 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7、温升：产品在正常工作条件下，其外壳温度不应超过 65℃，机内发热部件连续工作4h 后，其温升不应超过该部件的规定。</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8、高温储存：样品状态：不通电，不包装； 试验温度：(45±2)℃ ；试验时间：8h ；恢复时间：1h ；试验后，设备能稳定工作，各模块无工作异常。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9、高温工作：样品状态：通电工作；试验温度：(40±2)℃ ；试验时间：12h ；恢复时间：1h；试验中和试验后，设备能稳定工作，各模块无工作异常。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10、低温储存：样品状态：不通电，不包装；试验温度：(10±2)℃ ；试验时间：8h；恢复时间：1h；试验后，设备能稳定工作，各模块无工工作异常。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12、无人机设备包含3年保险。</w:t>
            </w:r>
            <w:r/>
          </w:p>
          <w:p>
            <w:pPr>
              <w:pStyle w:val="904"/>
              <w:ind w:firstLine="0"/>
              <w:spacing w:line="220" w:lineRule="exact"/>
              <w:widowControl/>
              <w:rPr>
                <w:rFonts w:eastAsia="宋体" w:cs="宋体"/>
                <w:sz w:val="18"/>
                <w:szCs w:val="18"/>
              </w:rPr>
            </w:pPr>
            <w:r>
              <w:rPr>
                <w:rFonts w:hint="eastAsia" w:eastAsia="宋体" w:cs="宋体"/>
                <w:sz w:val="18"/>
                <w:szCs w:val="18"/>
              </w:rPr>
              <w:t xml:space="preserve">注：</w:t>
            </w:r>
            <w:r>
              <w:rPr>
                <w:rFonts w:hint="eastAsia" w:eastAsia="宋体" w:cs="宋体"/>
                <w:sz w:val="18"/>
                <w:szCs w:val="18"/>
              </w:rPr>
              <w:t xml:space="preserve">带▲号条款须提供具有CNAS或CMA标识的产品检测报告原件扫描件。</w:t>
            </w:r>
            <w:r/>
          </w:p>
        </w:tc>
        <w:tc>
          <w:tcPr>
            <w:shd w:val="clear" w:color="auto" w:fill="auto"/>
            <w:tcW w:w="237"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746"/>
        </w:trPr>
        <w:tc>
          <w:tcPr>
            <w:shd w:val="clear" w:color="auto" w:fill="auto"/>
            <w:tcW w:w="293" w:type="pct"/>
            <w:vAlign w:val="center"/>
            <w:vMerge w:val="restart"/>
            <w:textDirection w:val="lrTb"/>
            <w:noWrap/>
          </w:tcPr>
          <w:p>
            <w:pPr>
              <w:pStyle w:val="883"/>
              <w:rPr>
                <w:color w:val="000000" w:themeColor="text1"/>
                <w:sz w:val="18"/>
                <w:szCs w:val="18"/>
              </w:rPr>
            </w:pPr>
            <w:r>
              <w:rPr>
                <w:color w:val="000000" w:themeColor="text1"/>
                <w:sz w:val="18"/>
                <w:szCs w:val="18"/>
              </w:rPr>
            </w:r>
            <w:r/>
          </w:p>
        </w:tc>
        <w:tc>
          <w:tcPr>
            <w:shd w:val="clear" w:color="auto" w:fill="auto"/>
            <w:tcW w:w="340" w:type="pct"/>
            <w:vAlign w:val="center"/>
            <w:vMerge w:val="restart"/>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无人值守机场（机巢）</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1.功能：支持无人机自动起降、自主充电；航拍数据自动回传：支持7×24小时无人值守作业；</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2.尺寸：≥640mm×745mm×465 mm；重量:≥55kg；电源：220V市电；</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3.气象监测指标：空气温度、空气湿度、雨量、风速；</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▲4.工作环境：-40℃至55℃（提供具有CMA标识的检测报告原件扫描件）；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▲5.防护等级：≥IP55（提供具有CMA标识的检测报告原件扫描件）；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▲6.机库同步具备气象参数数据采集功能，同时支持自定义云设置（提供具有CMA标识的检测报告原件扫描件）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7.图传延时：≤2.0秒；</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8.机场控制与数据管理需支持接入苏农云平台；</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▲9.数据传输：支持可见光、多光谱4波段（绿/红/红边/近红外）航拍图像远程自主回传。（需要提供系统截图并加盖投标人公章）</w:t>
            </w:r>
            <w:r/>
          </w:p>
        </w:tc>
        <w:tc>
          <w:tcPr>
            <w:shd w:val="clear" w:color="auto" w:fill="auto"/>
            <w:tcW w:w="237"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708"/>
        </w:trPr>
        <w:tc>
          <w:tcPr>
            <w:shd w:val="clear" w:color="auto" w:fill="auto"/>
            <w:tcW w:w="293" w:type="pct"/>
            <w:vAlign w:val="center"/>
            <w:vMerge w:val="continue"/>
            <w:textDirection w:val="lrTb"/>
            <w:noWrap/>
          </w:tcPr>
          <w:p>
            <w:pPr>
              <w:pStyle w:val="883"/>
              <w:rPr>
                <w:color w:val="000000" w:themeColor="text1"/>
                <w:sz w:val="18"/>
                <w:szCs w:val="18"/>
              </w:rPr>
            </w:pPr>
            <w:r>
              <w:rPr>
                <w:color w:val="000000" w:themeColor="text1"/>
                <w:sz w:val="18"/>
                <w:szCs w:val="18"/>
              </w:rPr>
            </w:r>
            <w:r/>
          </w:p>
        </w:tc>
        <w:tc>
          <w:tcPr>
            <w:shd w:val="clear" w:color="auto" w:fill="auto"/>
            <w:tcW w:w="340" w:type="pct"/>
            <w:vAlign w:val="center"/>
            <w:vMerge w:val="continue"/>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无人机智能巡田飞控分析软件服务</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1.终端设备管理：机巢与无人机设备信息维护；机巢及飞机位置（经纬度）、状态显示；飞行情况统计；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2.飞行控制管理：飞行控制（一键起飞或进仓/出仓等指令）；无人机航线规划；巡飞定时任务计划管理；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3.飞行记录管理：飞行任务列表；飞行轨迹回溯；无人机实时状态（速度、高度、时长、风力、充电状态）；无人机及机巢实时影像（舱内、舱外）；航拍图片查看；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4.影像拼接制图：可见光、NDVI正射影像制图；</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5.农情分析：农情分析结果查看；农情分析报告下载；综合决策建议；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6.基础配置管理：设备信息维护，地块信息维护，算法库配置；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7.算法包含：长势、倒伏、苗情、产量等四种专业算法模型和处方；</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支持飞行控制、航线规划、图像拼接、农情（长势、苗情、产量、倒伏等）分析等功能在同一平台内，并实现数据与省级管控平台（“苏农云”）实现接口级对接；（提供承诺函和系统截图并加盖投标人公章）</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▲9.提供智能巡田分析系统、无人机机场操控平台等与本项目建设内容相关的软件著作权证书原件扫描件。</w:t>
            </w:r>
            <w:r/>
          </w:p>
        </w:tc>
        <w:tc>
          <w:tcPr>
            <w:shd w:val="clear" w:color="auto" w:fill="auto"/>
            <w:tcW w:w="237"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491"/>
        </w:trPr>
        <w:tc>
          <w:tcPr>
            <w:shd w:val="clear" w:color="auto" w:fill="auto"/>
            <w:tcW w:w="293" w:type="pct"/>
            <w:vAlign w:val="center"/>
            <w:textDirection w:val="lrTb"/>
            <w:noWrap/>
          </w:tcPr>
          <w:p>
            <w:pPr>
              <w:pStyle w:val="883"/>
              <w:jc w:val="center"/>
              <w:rPr>
                <w:color w:val="auto"/>
                <w:sz w:val="18"/>
                <w:szCs w:val="18"/>
              </w:rPr>
            </w:pPr>
            <w:r>
              <w:rPr>
                <w:rFonts w:hint="eastAsia"/>
                <w:color w:val="auto"/>
                <w:sz w:val="18"/>
                <w:szCs w:val="18"/>
              </w:rPr>
              <w:t xml:space="preserve">7</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农作处方应用</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水稻、小麦模型算法及生产处方</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依据无人机/卫星遥感诊断结果、作物长势监测数据以及土壤养分分布信息，结合水稻模型和小麦模型，在作物生长的各个生长关键期，形成各个田块的处方设计图，包括施肥处方图、灌溉处方图及施药处方图。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1、采用大数据AI算法，由传感器监测感知空气、土壤、植物本体数据，融合deepseek等大语言模型，提供水稻小麦大田种植各阶段管理建议。</w:t>
            </w:r>
            <w:r>
              <w:rPr>
                <w:rFonts w:hint="eastAsia" w:ascii="宋体" w:hAnsi="宋体" w:cs="宋体"/>
                <w:sz w:val="18"/>
                <w:szCs w:val="18"/>
                <w:lang w:bidi="ar"/>
              </w:rPr>
              <w:br/>
              <w:t xml:space="preserve">2、采用大数据算法和专家系统相结合，为水稻小麦提供精准生长调控模型。</w:t>
            </w:r>
            <w:r>
              <w:rPr>
                <w:rFonts w:hint="eastAsia" w:ascii="宋体" w:hAnsi="宋体" w:cs="宋体"/>
                <w:sz w:val="18"/>
                <w:szCs w:val="18"/>
                <w:lang w:bidi="ar"/>
              </w:rPr>
              <w:br/>
              <w:t xml:space="preserve">3、融合水稻、小麦专家知识库，提升模型准确度。</w:t>
            </w:r>
            <w:r/>
          </w:p>
          <w:p>
            <w:pPr>
              <w:jc w:val="left"/>
              <w:spacing w:line="220" w:lineRule="exact"/>
              <w:widowControl/>
              <w:rPr>
                <w:rFonts w:ascii="宋体" w:hAnsi="宋体" w:cs="宋体"/>
                <w:sz w:val="18"/>
                <w:szCs w:val="18"/>
              </w:rPr>
            </w:pPr>
            <w:r>
              <w:rPr>
                <w:rFonts w:hint="eastAsia" w:ascii="宋体" w:hAnsi="宋体" w:cs="宋体"/>
                <w:sz w:val="18"/>
                <w:szCs w:val="18"/>
              </w:rPr>
              <w:t xml:space="preserve">▲4、可根据不同作物的环境特性，设定适宜的预警阈值，数据异常情况将自动提醒相关农事管理者。（提供具有检测资质的机构出具的带有CNAS标识的产品检测报告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▲5、可展示不同时间段作物生长过程，进行年度生长过程对比，反映作物持续生长的差异性。（提供具有检测资质的机构出具的带有CNAS标识的产品检测报告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numPr>
                <w:ilvl w:val="0"/>
                <w:numId w:val="5"/>
              </w:numPr>
              <w:jc w:val="left"/>
              <w:spacing w:line="220" w:lineRule="exact"/>
              <w:widowControl/>
              <w:rPr>
                <w:sz w:val="18"/>
                <w:szCs w:val="18"/>
              </w:rPr>
            </w:pPr>
            <w:r>
              <w:rPr>
                <w:rFonts w:hint="eastAsia" w:ascii="宋体" w:hAnsi="宋体" w:cs="宋体"/>
                <w:sz w:val="18"/>
                <w:szCs w:val="18"/>
                <w:lang w:bidi="ar"/>
              </w:rPr>
              <w:t xml:space="preserve">提供覆盖泰兴全域的每茬稻麦作物的长势监测（卫星遥感），3年。</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83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8</w:t>
            </w:r>
            <w:r/>
          </w:p>
        </w:tc>
        <w:tc>
          <w:tcPr>
            <w:shd w:val="clear" w:color="auto" w:fill="auto"/>
            <w:tcW w:w="340" w:type="pct"/>
            <w:vAlign w:val="center"/>
            <w:vMerge w:val="restart"/>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智能虫情测报灯</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2、整体结构采用不锈钢，采用光、电、数控技术，远程自动控制及识别计数。具漏电保护、避雷和防雨装置，雨虫分离技术，有防雨百叶，下雨天可以正常工作，正常捕虫，集虫器内不积水；</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w:t>
            </w:r>
            <w:r>
              <w:rPr>
                <w:rFonts w:hint="eastAsia" w:ascii="宋体" w:hAnsi="宋体" w:cs="宋体"/>
                <w:color w:val="000000" w:themeColor="text1"/>
                <w:sz w:val="18"/>
                <w:szCs w:val="18"/>
                <w:lang w:bidi="ar"/>
              </w:rPr>
              <w:t xml:space="preserve">黑鳃金蛾等130余种常见害虫，识别准确率≥91%，对一二类农作物病虫害名录中趋光性害虫的单种类识别计数准确率≥96%；（提供具有检测资质的机构出具的带有CNAS或CMA标识的检测报告原件扫描件）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6、摄像头:≥2500W工业相机，显示屏:&gt;7寸电容式触摸屏，系统:≥Android4.0；苗情球机监控：≥400W；</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对拍完照的虫子，需要保留标本的留在储存仓内，可分天存储7天以上，人工定期去收集,对于不需要标本的，虫子直接排出机器外部，避免人工去现场维护；（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9、虫体处理，仓温度 85士5℃，烘干时间≤5 分钟虫体处理致死率100%，虫体完整率100%；（提供具有检测资质的机构出具的带有CNAS或CMA标识的检测报告原件扫描件）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10、光源:20W黑光灯;波长:320~680nm，撞击屏长≥590mm，宽≥210mm，厚≥5mm，三块撞击屏角度为120°；</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▲11、采集数据实现自动远程传输，并可按要求接入国家级、省级、市级、县级和当地相关农作物有害生物监控信息系统；（提供具有检测资质的机构出具的带有CNAS或CMA标识的检测报告原件扫描件）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12、自动清洁：定期自动清理撞击屏上的蜘蛛网，可远程实现一键远程辅助清虫，减少人工维护频率；</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14、产品的L/N到接地的金属外壳之间能经受1500V(交流有效值)，其电源频率50Hz,历时lmin的耐压试验，无飞弧击穿现象。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15、支持查看设备拍摄区作物识别（水稻、小麦）、生育期识别及给出预测下一生育期时间；支持查看设备环境传感器数据；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16、含气象传感器，可监测空气温湿度传感器、雨量等指标，可提供虫情发生量与气象关系的比较分析，提供当前生育期重大虫害捕捉统计及预计暴发时间分析，针对该暴发提供防治要点参考；</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▲17、提供不少于两份省级（含）以上植保部门或农业技术推广部门出具的识别准确度验证报告，且识别准确率不低于85%。</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sz w:val="18"/>
                <w:szCs w:val="18"/>
                <w:lang w:bidi="ar"/>
              </w:rPr>
              <w:t xml:space="preserve">4</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009"/>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auto"/>
            <w:tcW w:w="340" w:type="pct"/>
            <w:vAlign w:val="center"/>
            <w:vMerge w:val="continue"/>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高空智能虫情测报灯</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1、符合GB/T 24689.1-2009植物保护机</w:t>
            </w:r>
            <w:r>
              <w:rPr>
                <w:rFonts w:hint="eastAsia" w:ascii="宋体" w:hAnsi="宋体" w:cs="宋体"/>
                <w:sz w:val="18"/>
                <w:szCs w:val="18"/>
                <w:lang w:bidi="ar"/>
              </w:rPr>
              <w:t xml:space="preserve">械 虫情测报灯标准设计。                                                                                                                                                                                                        2、专用于农业虫害防治，集中诱杀高空低空害虫；有效防治迁飞性害虫迁入危害，防止灾害发生。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3、整体结构采用不锈钢材质，采用防雨设计，雨天正常捕虫，能有效将雨、虫分离，防水等级IP65，为保证昆虫的诱集效率，设有互成120°撞击屏；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4、诱集光源：采用1000W金属卤化物灯光源；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5、远红外虫体处理: 远红外虫体处理，设备启动15分钟后达到85±5℃，处理时间可调，虫体处理致死率不小于100%，虫体完整率不小于98%，识别并正确计数一类二类农业害虫种类不少于30种，识别准确率≥90%；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6、具有光控模式、时控模式、休眠模式三种工作状态。光控模式下，设备白天自动关灯，夜间自动开灯，工作时间长度可设定； 时控模式下，设备在时段内自动开灯，在时段外自动关灯；休眠模式下，设备关灯，仍然通讯；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7、支持手机App与Web端控制,可远程查看地理位置、远程控制、工作状态、网络运行等情况；</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8、工作环境可在温度 0~40℃，湿度不大于 95%RH 的环境下正常工作；</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9、供电电源: AC220V 供电，频率50Hz，绝缘电阻:&gt;2.5MΩ；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10、设备具有定位功能，可实现在GIS地图上查看所有安装的设备，可在GIS地图上直接选择进入设备查看状态，实现对设备的统一管理；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11、可通过Web端与APP远程控制，提供手机APP或Web端账户及密码，可指导用户操作使用；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12、一个账户可远程控制多台不同编号的设备，配置方法由服务人员后台设</w:t>
            </w:r>
            <w:r>
              <w:rPr>
                <w:rFonts w:hint="eastAsia" w:ascii="宋体" w:hAnsi="宋体" w:cs="宋体"/>
                <w:sz w:val="18"/>
                <w:szCs w:val="18"/>
                <w:lang w:bidi="ar"/>
              </w:rPr>
              <w:t xml:space="preserve">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13、可通过手机APP及WEB端远程设置设备的开关、工程调试模式、远程重启，查看设备联网状态、信号、设备经纬度信息、通讯卡有效时间；远程设置光控、时控、休眠模式；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14、设备告警：可提示设备亏电、信号不足、需要维修等状态报警，可显示设备编号及告警时间，通过Web端及APP端提示；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智能虫情测报系统，可以按时间段进行统计虫情数量及趋势分析；支持对虫情的综合分析、预警分析、地图分析；（提供平台功能应用截图并提供具有检测资质的机构出具的带有CNAS或CMA标识的检测报告原件扫描件）</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16、智能虫情测报系统，可以分省，市，县，镇等多级不同权限;管理员可以查看本系统所用用户的操作记录，可看查询指定用户在指定时间内的操作记录。（提供平台功能应用截图并提供具有检测资质的机构出具的带有CNAS或CMA标识的检测报告原件扫描件）</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83"/>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小虫体智能测报灯（稻飞虱）</w:t>
            </w:r>
            <w:r/>
          </w:p>
        </w:tc>
        <w:tc>
          <w:tcPr>
            <w:shd w:val="clear" w:color="auto" w:fill="auto"/>
            <w:tcW w:w="3223" w:type="pct"/>
            <w:vAlign w:val="center"/>
            <w:textDirection w:val="lrTb"/>
            <w:noWrap w:val="false"/>
          </w:tcPr>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▲2、诱捕与拍照技术集成于</w:t>
            </w:r>
            <w:r>
              <w:rPr>
                <w:rFonts w:hint="eastAsia" w:ascii="宋体" w:hAnsi="宋体" w:eastAsia="宋体" w:cs="宋体"/>
                <w:color w:val="auto"/>
                <w:sz w:val="18"/>
                <w:szCs w:val="18"/>
              </w:rPr>
              <w:t xml:space="preserve">一体的虫情测报系统，通过定制波段光源诱捕靶标害虫，内置不低于2000W高清工业摄像机，对小虫体进行活体拍照，针对飞虱类、叶蝉类等小虫体害虫进行自动识别计数，通过A1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十紫二叉叶蝉、其他叶蝉、黑肩绿盲蝽、其他绿盲蝽、蚁形隐翅虫等20余种微小虫体，识别准确率≥90%。(提供具有CNAS或CMA标识的相关检测机构出具的检测报告原件扫描件。</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6、图像处理：包括但不限于画面分割、切换处理及保存等功能。图片保存质量应满足虫体人工手动计数的识别需求。</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7、内置GPS定位功能，可在地图中查看设备站点等数据。在PC云端地图中查看设备站点等数据，设备被盗可追踪。</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9、虫子收集储存技术：对拍完照的虫子，需要保留标本的留在储存袋内，人工定期去收集；对于不需要标本的，虫子直接排出机器外部；</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10、电源：太阳能供电，直流12v；灯管启动时间：开机后小于5秒；绝缘电阻：大于2.5MΩ；</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11、工作环境温度：0～70℃，工作环境湿度：≤95%。</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▲12、虫害爆发分析模型：将捕获到的昆虫进行统计分析，绘制出虫害的发生趋势与发生轨迹，并确定其发生源头，以此为数据基础实现病虫害的预测预警；</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13、具备标准化数据输出接口，支持与国家级、省级、市级、县区级和当地相关信息调度管理平台实现无缝对接。</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14、作物产量评估模型：根据虫害、天气、土壤、作物、农事等数据，实现作物整个生育期内各指标的模拟。</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▲15、具有不少于两个省级（含）以上植保部门或农业技术推广部门出具的应用试验报告，且试验识别准确率高于90%。</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▲16、关注微信公众号，即可接收设备诱虫信息推送:包括灯下成虫首现信息和每日诱虫数据。根据账号权限，省市县数据三级贯通，按权限隔离。</w:t>
            </w:r>
            <w:r/>
          </w:p>
        </w:tc>
        <w:tc>
          <w:tcPr>
            <w:shd w:val="clear" w:color="auto" w:fill="auto"/>
            <w:tcW w:w="237" w:type="pct"/>
            <w:vAlign w:val="center"/>
            <w:textDirection w:val="lrTb"/>
            <w:noWrap/>
          </w:tcPr>
          <w:p>
            <w:pPr>
              <w:jc w:val="center"/>
              <w:spacing w:line="220" w:lineRule="exact"/>
              <w:widowControl/>
              <w:rPr>
                <w:rFonts w:ascii="宋体" w:hAnsi="宋体" w:cs="宋体"/>
                <w:color w:val="ff0000"/>
                <w:sz w:val="18"/>
                <w:szCs w:val="18"/>
                <w:lang w:bidi="ar"/>
              </w:rPr>
            </w:pPr>
            <w:r>
              <w:rPr>
                <w:rFonts w:hint="eastAsia" w:ascii="宋体" w:hAnsi="宋体" w:cs="宋体"/>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34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稻纵卷叶螟智能赶蛾统计杆</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全域覆盖机构：扫杆支持正/逆时针360°双向旋转，最大展开长度4米，有效作业面积50㎡；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智能升降系统：垂直调节行程≥1米，适配各品种水稻株高范围（须提供具有CNAS标识相关检测机构出具的有效检测报告原件扫描件）；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安全复位机制：作业完成后自动归位至预设安全位置；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 高清成像组件：配置400万像素CMOS传感器摄像头；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 自适应光学控制：支持远程调节焦距；</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 双模调节功能：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自动模式：具备通过图像识别水稻高度后，自动调整每日赶蛾高度；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手动模式：支持后台远程设置1-360°作业角度。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 环境适应策略：可联动调整作业时间（日出时间30min）、延迟启动（雨停后30min）；</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▲8. 目标识别引擎：识别算法可有效剔除杂虫干扰，稻纵卷叶螟识别准确率≥90%（须提供具有CNAS标识相关检测机构出具的有效检测报告原件扫描件）；</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70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可移动调查设备</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头戴式可移动田间智能监测调查设备（农业病虫害AR智能测报仪）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1、操作系统：Android系统（AOSP），双麦克风，带降噪算法；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2、内存/芯片： 32GB，≥8核芯片，通用无线网络：支持wifi2.4GHz、wifi5GHz、蓝牙5.0。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3、显示器:≤ 0.23寸单目屏幕，像素密度≥3281ppi，峰值亮度≥3000nits，室外阳光下清晰可见；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4、摄像头：长焦≥8M 5X (120mm，支持AF、OIS)+广角≥ 50M (28mm，支持AF)，传感器：6轴陀螺仪+环境光传感器,PDAF高速相位对焦。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5、触控：支持3点触控场景，触控区≤20*50mm；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6、电池：≥990mAh/3.81Wh，聚合物电芯，4.45V，充电：5V2A，2PIN，续航时间2-3h，可边充电边工作，总重量≤100g；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7、一体机形态，无需外接数据线，无论性别、头围大小、瞳距不同皆可佩戴使用。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8、防水性：IP54防尘防水，佩戴轻便。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▲9、实现对稻飞虱15个指标进行有效识别，平均识别准确率≥95%（投标人须提供具有CNAS标识相关检测机构出具的有效检测报告原件扫描件）；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10、支持小麦赤霉病的分级定量识别；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11、支持蚜虫的定量计数识别；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▲12、实现自动识别烟粉虱的幼虫、成虫并自动统计计数（投标人须提供具有CNAS标识相关检测机构出具的有效检测报告原件扫描件）；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13、支持可个性化配置，根据区域植保站主要病虫害配置调查场景以及配套的识别模型服务，支持第三方识别服务的接入；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14、具有手机APP端和PC端双操作平台，可查看、编辑数据:手机端通过采集时间、采集对象进行数据筛选和查看;PC端均可通过采集时间、采集对象、采集用户、采集地点进行数据筛选、搜索和查看。</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15、支持PC端导出病虫害调查数据列表。</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5361"/>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auto"/>
            <w:tcW w:w="34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赤霉病、稻瘟病自动监测站</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▲1、作物病害自动监测预警模型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系统包括子囊壳形成与温湿度关系模型、侵染概率模型、菌量模型、潜育速率模型、显症率模型、重复侵染概率模型、病穗率模型、发病程度模型等子模型，构成小麦-玉米轮作和小麦-水稻轮作的赤霉病、稻瘟病监测预警模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2、作物病害自动监测预警系统软件部分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数据采集云存储：实时采集田间数据，每2小时上传一次，储存至少3年历史数据，用折线图、数据列表等不同形式展示；（提供国家权威机构出具的检测报告原件扫描件）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预测结果与国家标准对应，在小麦赤霉病、稻瘟病防治关键期前15天开始预报发病情况，超过防治指标自动报警，可在电脑PC端、手机微信小程序查看；（提供国家权威机构出具的检测报告原件扫描件）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 开放式系统平台，自动接入国家平台，可接入其他省、市、县区级平台。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3、作物病害自动监测预警系统硬件部分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 主机规格：高1.8 m ，重量80kg；电池容量：12 V 20 A（采用高原专用电池6-CNJ-20，输出功率受环境温度影响较小）；太阳能板：40W；功耗：10 mA；工作时间：在连续阴雨天环境中可持续工作30天；工作温度范围：-20℃~80℃；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整机为SUS 304不锈钢材质，耐酸碱，耐腐蚀，防护等级IP67，抗冲击等级IK08；</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 温度及降雨量采集传感器采用光电感应技术；风速风向传感器采用超声波采集技术；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 仪器具有远程调试、无人值守、无缝监控等功能。                                                                                                                                                                                                               4、预测准确率可达95%。</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46"/>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14</w:t>
            </w:r>
            <w:r/>
          </w:p>
        </w:tc>
        <w:tc>
          <w:tcPr>
            <w:shd w:val="clear" w:color="auto" w:fill="auto"/>
            <w:tcW w:w="34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离心式单逆流孢子捕捉仪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离心式单逆流孢子捕捉仪功能特点</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 具有自动采集空气中的病菌孢子、污染物、粉尘、花粉等，为病害监测预警提供可靠 数据的功能；（提供国家权威机构出具的检测报告原件扫描件加盖制造商公章）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 对空气传播性病原菌孢子，实验室进行PCR定量检测分析，系统平台查看作物生长关键期病原菌孢子数量；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 可持续无间断采样、不会过载，不会损失，不会改变采样效率；（提供国家权威机构出具的检测报告原件扫描件加盖制造商公章）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 可在连续阴雨天中持续工作30天以上；</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 具有远程调试、无人值守、无缝监控等功能；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 采集控制器：4G云智能多路遥控开关，远程遥控孢子捕捉仪开关机；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离心式单逆流孢子捕捉仪参数：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支撑板：厚度5 mm的304不锈钢；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支撑架：镀锌；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2.3防护罩：1mm 厚 1060#铝板；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2.4双头螺栓：304不锈钢；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2.5 底盘：ZL102表面喷塑；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2.6 通气管连接支架：PVC；</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2.7 取样管为2ml亚克力，每7天更换一次；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2.8 风标、风机罩、挡板：厚度≥5 mm的航空铝板，阳极化处理；（提供国家权威机构出具的检测报告原件扫描件加盖制造商公章）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2.9 真空泵由7000转/分的电机驱动，驱动的风盘动平衡数值≤0.03g；（提供国家权威机构出具的检测报告原件扫描件加盖制造商公章）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2.10 真空泵带动单逆流微型旋风分离器，分离器连接采样器；（提供国家权威机构出具的检测报告原件扫描件加盖制造商公章）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2.11 具有蓄电池温度补偿功能；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电源转换供电系统参数：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3.1光伏阵列极性反接保护、蓄电池极性反接保护、蓄电池超压保护、蓄电池过放保护、蓄电池超温保护、负载过载保护、负载短路保护、温度传感器损坏保护、控制器超温保护；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LED指示灯显示；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3.3额定充电电流：10A；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3.4空载损耗：＜30Ma/12V；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3.5充放电回路压降：＜0.5V；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3.6 输出电压：DC12V，输出最大功率：120W；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3.7 电芯型号：18650/3.7V；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3.8 电池外壳：铝外壳；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3.9 工作环境温度：-35℃～85℃；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3.10 工作环境温度内(-25℃～55℃)能以额定充电电流满载连续运行；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3.11 箱体采用1.2mm厚镀锌板，外表高温喷塑；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3.12 锂电保护：短路保护，过充保护，过放保护，过流保护。</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6100"/>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病虫害自动分析</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病虫害防治分析系统</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将县域内所有农业物联网设备采集的数据通过网络传输到系统内，并进行数据标准化验证和统一管理，提高调查资料的准确性和可比性，减少人为和其它因素</w:t>
            </w:r>
            <w:r>
              <w:rPr>
                <w:rFonts w:hint="eastAsia" w:ascii="宋体" w:hAnsi="宋体" w:cs="宋体"/>
                <w:sz w:val="18"/>
                <w:szCs w:val="18"/>
              </w:rPr>
              <w:t xml:space="preserve">造成的数据误差，提高测报准确率。建立田间智能物联网设备管理库，管理设备的运行状态。此外还有病虫害监测数据查询、统计及图形分析、地区病虫害档案和病虫图谱、预报情报报送等功能。功能清单包括：主页、数据查询（按设备查询、按指标查询、多指标专题等）、数据分析（数据展示屏、多年同比分析、多指标叠加分析、多区域分析、单点分析等）、物联网管理（监测点管理、物联网数据同步日志、设备数据、物联网图片展示等）、知识库（植保知识库、多媒体库等）、信息发布管理（发布用户管理、发布信息管理、发布记录管理等）、系统管理（用户管理等）；</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具体要求如下：</w:t>
            </w:r>
            <w:r/>
          </w:p>
          <w:p>
            <w:pPr>
              <w:jc w:val="left"/>
              <w:spacing w:line="220" w:lineRule="exact"/>
              <w:widowControl/>
              <w:rPr>
                <w:rFonts w:ascii="宋体" w:hAnsi="宋体" w:cs="宋体"/>
                <w:sz w:val="18"/>
                <w:szCs w:val="18"/>
              </w:rPr>
            </w:pPr>
            <w:r>
              <w:rPr>
                <w:rFonts w:hint="eastAsia" w:ascii="宋体" w:hAnsi="宋体" w:cs="宋体"/>
                <w:sz w:val="18"/>
                <w:szCs w:val="18"/>
              </w:rPr>
              <w:t xml:space="preserve">1、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w:t>
            </w:r>
            <w:r/>
          </w:p>
          <w:p>
            <w:pPr>
              <w:jc w:val="left"/>
              <w:spacing w:line="220" w:lineRule="exact"/>
              <w:widowControl/>
              <w:rPr>
                <w:rFonts w:ascii="宋体" w:hAnsi="宋体" w:cs="宋体"/>
                <w:sz w:val="18"/>
                <w:szCs w:val="18"/>
              </w:rPr>
            </w:pPr>
            <w:r>
              <w:rPr>
                <w:rFonts w:hint="eastAsia" w:ascii="宋体" w:hAnsi="宋体" w:cs="宋体"/>
                <w:sz w:val="18"/>
                <w:szCs w:val="18"/>
              </w:rPr>
              <w:t xml:space="preserve">2、按指标查询：按照虫害、病害、气象等各类指标来查询数据，查询时系统会自动将可采集该指标的设备筛选出来，查询结果可根据指标的数据特点进行有效呈现；</w:t>
            </w:r>
            <w:r/>
          </w:p>
          <w:p>
            <w:pPr>
              <w:jc w:val="left"/>
              <w:spacing w:line="220" w:lineRule="exact"/>
              <w:widowControl/>
              <w:rPr>
                <w:rFonts w:ascii="宋体" w:hAnsi="宋体" w:cs="宋体"/>
                <w:sz w:val="18"/>
                <w:szCs w:val="18"/>
              </w:rPr>
            </w:pPr>
            <w:r>
              <w:rPr>
                <w:rFonts w:hint="eastAsia" w:ascii="宋体" w:hAnsi="宋体" w:cs="宋体"/>
                <w:sz w:val="18"/>
                <w:szCs w:val="18"/>
              </w:rPr>
              <w:t xml:space="preserve">▲3、多指标专题：后台管理员分别对虫害、病害、墒情、灾情专题配置关联指标，使用者无需过多操作即可实现核心指标与因子指标的叠加关系分析；（提供平台功能应用截图）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▲4、多指标叠加分析：使用者可将任何物联网监测指标进行叠加分析，叠加时可自动根据指标属性设定统计周期，帮助使用者进行综合业务分析；（提供平台功能应用截图）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发布信息管理：使用者可根据内置模板对发布信息进行编辑管理，并可将编辑好的信息发布给预先设定的订阅号、服务号的管理员微信进行预览；模板确认后，系统将根据模板设定的统计周期定期将信息发布给所有用户。</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5650"/>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auto"/>
            <w:tcW w:w="340" w:type="pct"/>
            <w:vAlign w:val="center"/>
            <w:vMerge w:val="restart"/>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智能灌溉系统</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智能一体化进、出水闸门及渠道配套改造</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本项1套智能闸门包含：进水闸门、出水闸门各1个及相关配件。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闸门：铝合金/不锈钢材质，闸口30cm，闸门适用于正反向水压条件，闸门结构坚固、耐磨耐蚀性强。</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驱动电机：性能驱动电机，DC24V直流电机，频繁启停，宽速度调节范围。</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支架：30cm闸门支架；电机固定支架；电池固定支架；限位开关固定支架；控制器固定支架。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控制器与配套电路：无线远程控制器、配套电路，功能:单片机数据采集显示、数据处理、计算、报警、传输等，控制设备包括阀门等</w:t>
            </w:r>
            <w:r>
              <w:rPr>
                <w:rFonts w:hint="eastAsia" w:ascii="宋体" w:hAnsi="宋体" w:cs="宋体"/>
                <w:sz w:val="18"/>
                <w:szCs w:val="18"/>
                <w:lang w:bidi="ar"/>
              </w:rPr>
              <w:br/>
              <w:t xml:space="preserve">用途：传感器数据采集、传感器数据传输，工业级</w:t>
            </w:r>
            <w:r>
              <w:rPr>
                <w:rFonts w:hint="eastAsia" w:ascii="宋体" w:hAnsi="宋体" w:cs="宋体"/>
                <w:sz w:val="18"/>
                <w:szCs w:val="18"/>
                <w:lang w:bidi="ar"/>
              </w:rPr>
              <w:br/>
              <w:t xml:space="preserve">输入电压：DC5~36V</w:t>
            </w:r>
            <w:r>
              <w:rPr>
                <w:rFonts w:hint="eastAsia" w:ascii="宋体" w:hAnsi="宋体" w:cs="宋体"/>
                <w:sz w:val="18"/>
                <w:szCs w:val="18"/>
                <w:lang w:bidi="ar"/>
              </w:rPr>
              <w:br/>
              <w:t xml:space="preserve">RS485 协议处理：支持自定义问询指令下发、支持标准MODBUS协议解析</w:t>
            </w:r>
            <w:r>
              <w:rPr>
                <w:rFonts w:hint="eastAsia" w:ascii="宋体" w:hAnsi="宋体" w:cs="宋体"/>
                <w:sz w:val="18"/>
                <w:szCs w:val="18"/>
                <w:lang w:bidi="ar"/>
              </w:rPr>
              <w:br/>
              <w:t xml:space="preserve">工作电流：35mA/12v 网络缓存：4K  数据接口：RS232/485</w:t>
            </w:r>
            <w:r>
              <w:rPr>
                <w:rFonts w:hint="eastAsia" w:ascii="宋体" w:hAnsi="宋体" w:cs="宋体"/>
                <w:sz w:val="18"/>
                <w:szCs w:val="18"/>
                <w:lang w:bidi="ar"/>
              </w:rPr>
              <w:br/>
              <w:t xml:space="preserve">波特率：2400bps~115200bps  天线接口：SMA射频座</w:t>
            </w:r>
            <w:r>
              <w:rPr>
                <w:rFonts w:hint="eastAsia" w:ascii="宋体" w:hAnsi="宋体" w:cs="宋体"/>
                <w:sz w:val="18"/>
                <w:szCs w:val="18"/>
                <w:lang w:bidi="ar"/>
              </w:rPr>
              <w:br/>
              <w:t xml:space="preserve">复位功能：复位按键，复位初始参数</w:t>
            </w:r>
            <w:r>
              <w:rPr>
                <w:rFonts w:hint="eastAsia" w:ascii="宋体" w:hAnsi="宋体" w:cs="宋体"/>
                <w:sz w:val="18"/>
                <w:szCs w:val="18"/>
                <w:lang w:bidi="ar"/>
              </w:rPr>
              <w:b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限位器：高、低限位器，额定电流10A，触点数1NO+1NC，操作力200N，接线方式插入式。</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太阳能供电：包括电压为36V，优质铝合金为边框材质的单晶硅太阳能电池板、一体支架（控制器,电池置于支架内部），MPPT智能控制器(内置)，24V三元聚合物锂电池组,用于给设备供电的DC线。</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水位传感器：0-3米0.03级超声波液位计，DC12V三线制，密封等级为IP68，检测介质为弱腐蚀性液体，支持485通讯，响应时间≤5mS。闸门配套专用水位传感器支架。</w:t>
            </w:r>
            <w:r/>
          </w:p>
          <w:p>
            <w:pPr>
              <w:numPr>
                <w:ilvl w:val="0"/>
                <w:numId w:val="6"/>
              </w:numPr>
              <w:jc w:val="left"/>
              <w:spacing w:line="220" w:lineRule="exact"/>
              <w:widowControl/>
              <w:rPr>
                <w:sz w:val="18"/>
                <w:szCs w:val="18"/>
              </w:rPr>
            </w:pPr>
            <w:r>
              <w:rPr>
                <w:rFonts w:hint="eastAsia" w:ascii="宋体" w:hAnsi="宋体" w:cs="宋体"/>
                <w:sz w:val="18"/>
                <w:szCs w:val="18"/>
                <w:lang w:bidi="ar"/>
              </w:rPr>
              <w:t xml:space="preserve">施工：含水泥预制、砂石、砖、管；每套40米渠道切割安装配套改造。</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20</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25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17</w:t>
            </w:r>
            <w:r/>
          </w:p>
        </w:tc>
        <w:tc>
          <w:tcPr>
            <w:shd w:val="clear" w:color="auto" w:fill="auto"/>
            <w:tcW w:w="340" w:type="pct"/>
            <w:vAlign w:val="center"/>
            <w:vMerge w:val="continue"/>
            <w:textDirection w:val="lrTb"/>
            <w:noWrap w:val="false"/>
          </w:tcPr>
          <w:p>
            <w:pPr>
              <w:jc w:val="center"/>
              <w:spacing w:line="220" w:lineRule="exact"/>
              <w:widowControl/>
              <w:rPr>
                <w:rFonts w:ascii="宋体" w:hAnsi="宋体" w:cs="宋体"/>
                <w:sz w:val="18"/>
                <w:szCs w:val="18"/>
              </w:rPr>
            </w:pPr>
            <w:r>
              <w:rPr>
                <w:rFonts w:ascii="宋体" w:hAnsi="宋体" w:cs="宋体"/>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泵站智能化改造</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加装泵站远程控制终端-多场景AI控制柜：</w:t>
            </w:r>
            <w:r>
              <w:rPr>
                <w:rFonts w:hint="eastAsia" w:ascii="宋体" w:hAnsi="宋体" w:cs="宋体"/>
                <w:sz w:val="18"/>
                <w:szCs w:val="18"/>
                <w:lang w:bidi="ar"/>
              </w:rPr>
              <w:br/>
              <w:t xml:space="preserve">远传通讯方式：4G；</w:t>
            </w:r>
            <w:r>
              <w:rPr>
                <w:rFonts w:hint="eastAsia" w:ascii="宋体" w:hAnsi="宋体" w:cs="宋体"/>
                <w:sz w:val="18"/>
                <w:szCs w:val="18"/>
                <w:lang w:bidi="ar"/>
              </w:rPr>
              <w:br/>
              <w:t xml:space="preserve">控制方式：现场手动控制、远程电脑或移动终端控制；</w:t>
            </w:r>
            <w:r>
              <w:rPr>
                <w:rFonts w:hint="eastAsia" w:ascii="宋体" w:hAnsi="宋体" w:cs="宋体"/>
                <w:sz w:val="18"/>
                <w:szCs w:val="18"/>
                <w:lang w:bidi="ar"/>
              </w:rPr>
              <w:br/>
              <w:t xml:space="preserve">控制回路：联机拓展；</w:t>
            </w:r>
            <w:r>
              <w:rPr>
                <w:rFonts w:hint="eastAsia" w:ascii="宋体" w:hAnsi="宋体" w:cs="宋体"/>
                <w:sz w:val="18"/>
                <w:szCs w:val="18"/>
                <w:lang w:bidi="ar"/>
              </w:rPr>
              <w:br/>
              <w:t xml:space="preserve">控制功能：可与485控制模块配套使用实现远距离控制，也可通过自身继电器与配套配电柜配合使用；</w:t>
            </w:r>
            <w:r>
              <w:rPr>
                <w:rFonts w:hint="eastAsia" w:ascii="宋体" w:hAnsi="宋体" w:cs="宋体"/>
                <w:sz w:val="18"/>
                <w:szCs w:val="18"/>
                <w:lang w:bidi="ar"/>
              </w:rPr>
              <w:br/>
              <w:t xml:space="preserve">防护措施：防反接保护。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智能灌溉算法：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1、土壤墒情阈值算法：设定不同生育期土壤湿度阈值，当传感器监测值低于下限，自动触发灌溉；达到上限则停止，适配水稻各阶段需水特性。</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2、作物系数 - 蒸发蒸腾量算法：结合水稻作物系数、气象数据（气温、风速等）计算蒸发蒸腾量，按 “需水量 = 蒸腾量 + 土壤补水” 公式确定灌溉量，实现按需供水。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3、机器学习预测灌溉算法：用历史灌溉数据、生长状态和产量训练模型，预测最佳灌溉时间与水量，减少盲目灌溉。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4、墒情 - 气象联动算法：综合土壤墒情与未来天气预报（如下雨则减少灌溉），动态调整灌溉计划，避免水资源浪费。</w:t>
            </w:r>
            <w:r/>
          </w:p>
          <w:p>
            <w:pPr>
              <w:jc w:val="left"/>
              <w:spacing w:line="220" w:lineRule="exact"/>
              <w:widowControl/>
              <w:rPr>
                <w:sz w:val="18"/>
                <w:szCs w:val="18"/>
              </w:rPr>
            </w:pPr>
            <w:r>
              <w:rPr>
                <w:rFonts w:hint="eastAsia" w:ascii="宋体" w:hAnsi="宋体" w:cs="宋体"/>
                <w:sz w:val="18"/>
                <w:szCs w:val="18"/>
                <w:lang w:bidi="ar"/>
              </w:rPr>
              <w:t xml:space="preserve">5、分区域差异化灌溉算法：通过传感器划分田间墒情区域，对干旱区优先灌溉、湿润区延迟，提高灌溉针对性。</w:t>
            </w:r>
            <w:r/>
          </w:p>
        </w:tc>
        <w:tc>
          <w:tcPr>
            <w:shd w:val="clear" w:color="auto" w:fill="auto"/>
            <w:tcW w:w="237"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836"/>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18</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植物冠层分析仪</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植物冠层分析仪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1、防水等级高：全铝合金，防水等级IP67。</w:t>
            </w:r>
            <w:r>
              <w:rPr>
                <w:rFonts w:hint="eastAsia" w:ascii="宋体" w:hAnsi="宋体" w:cs="宋体"/>
                <w:sz w:val="18"/>
                <w:szCs w:val="18"/>
                <w:lang w:bidi="ar"/>
              </w:rPr>
              <w:br/>
              <w:t xml:space="preserve">2、采用可见/近红外光反射光谱技术和多通道光谱信息扫描技术，可快速测定植被表面参数、植物冠层信息、植物养分信息、土壤养分信息、环境参数、植物病虫害程度等。</w:t>
            </w:r>
            <w:r>
              <w:rPr>
                <w:rFonts w:hint="eastAsia" w:ascii="宋体" w:hAnsi="宋体" w:cs="宋体"/>
                <w:sz w:val="18"/>
                <w:szCs w:val="18"/>
                <w:lang w:bidi="ar"/>
              </w:rPr>
              <w:br/>
              <w:t xml:space="preserve">3、软件分析功能多：可分析植被指数RVI、NDVI、作物叶层含氮量、氮积累量、叶面积指数、叶干重等。</w:t>
            </w:r>
            <w:r>
              <w:rPr>
                <w:rFonts w:hint="eastAsia" w:ascii="宋体" w:hAnsi="宋体" w:cs="宋体"/>
                <w:sz w:val="18"/>
                <w:szCs w:val="18"/>
                <w:lang w:bidi="ar"/>
              </w:rPr>
              <w:br/>
              <w:t xml:space="preserve">主机功能：</w:t>
            </w:r>
            <w:r>
              <w:rPr>
                <w:rFonts w:hint="eastAsia" w:ascii="宋体" w:hAnsi="宋体" w:cs="宋体"/>
                <w:sz w:val="18"/>
                <w:szCs w:val="18"/>
                <w:lang w:bidi="ar"/>
              </w:rPr>
              <w:br/>
              <w:t xml:space="preserve">1.带手机APP和仪器云平台。2.带GPS定位功能。3.带语音播报功能。</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99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19</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无人机 </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田间调查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1、一亿像素 4/3 CMOS 哈苏相机，6K/60fps HDR 视频</w:t>
            </w:r>
            <w:r/>
          </w:p>
          <w:p>
            <w:pPr>
              <w:jc w:val="left"/>
              <w:spacing w:line="220" w:lineRule="exact"/>
              <w:widowControl/>
              <w:rPr>
                <w:rFonts w:ascii="宋体" w:hAnsi="宋体" w:cs="宋体"/>
                <w:sz w:val="18"/>
                <w:szCs w:val="18"/>
              </w:rPr>
            </w:pPr>
            <w:r>
              <w:rPr>
                <w:rFonts w:hint="eastAsia" w:ascii="宋体" w:hAnsi="宋体" w:cs="宋体"/>
                <w:sz w:val="18"/>
                <w:szCs w:val="18"/>
              </w:rPr>
              <w:t xml:space="preserve">2、1/1.3 英寸与 1/1.5 英寸大底双长焦相机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3、360°旋转万象云台，运镜灵动自由</w:t>
            </w:r>
            <w:r/>
          </w:p>
          <w:p>
            <w:pPr>
              <w:jc w:val="left"/>
              <w:spacing w:line="220" w:lineRule="exact"/>
              <w:widowControl/>
              <w:rPr>
                <w:rFonts w:ascii="宋体" w:hAnsi="宋体" w:cs="宋体"/>
                <w:sz w:val="18"/>
                <w:szCs w:val="18"/>
              </w:rPr>
            </w:pPr>
            <w:r>
              <w:rPr>
                <w:rFonts w:hint="eastAsia" w:ascii="宋体" w:hAnsi="宋体" w:cs="宋体"/>
                <w:sz w:val="18"/>
                <w:szCs w:val="18"/>
              </w:rPr>
              <w:t xml:space="preserve">4、0.1 Lux 夜景级全向主动避障</w:t>
            </w:r>
            <w:r/>
          </w:p>
          <w:p>
            <w:pPr>
              <w:jc w:val="left"/>
              <w:spacing w:line="220" w:lineRule="exact"/>
              <w:widowControl/>
              <w:rPr>
                <w:rFonts w:ascii="宋体" w:hAnsi="宋体" w:cs="宋体"/>
                <w:sz w:val="18"/>
                <w:szCs w:val="18"/>
              </w:rPr>
            </w:pPr>
            <w:r>
              <w:rPr>
                <w:rFonts w:hint="eastAsia" w:ascii="宋体" w:hAnsi="宋体" w:cs="宋体"/>
                <w:sz w:val="18"/>
                <w:szCs w:val="18"/>
              </w:rPr>
              <w:t xml:space="preserve">5、51 分钟飞行时间</w:t>
            </w:r>
            <w:r/>
          </w:p>
          <w:p>
            <w:pPr>
              <w:jc w:val="left"/>
              <w:spacing w:line="220" w:lineRule="exact"/>
              <w:widowControl/>
              <w:rPr>
                <w:rFonts w:ascii="宋体" w:hAnsi="宋体" w:cs="宋体"/>
                <w:sz w:val="18"/>
                <w:szCs w:val="18"/>
              </w:rPr>
            </w:pPr>
            <w:r>
              <w:rPr>
                <w:rFonts w:hint="eastAsia" w:ascii="宋体" w:hAnsi="宋体" w:cs="宋体"/>
                <w:sz w:val="18"/>
                <w:szCs w:val="18"/>
              </w:rPr>
              <w:t xml:space="preserve">6、30 公里 10-bit HDR 图传</w:t>
            </w:r>
            <w:r/>
          </w:p>
          <w:p>
            <w:pPr>
              <w:pStyle w:val="904"/>
              <w:numPr>
                <w:ilvl w:val="0"/>
                <w:numId w:val="7"/>
              </w:numPr>
              <w:ind w:firstLine="0"/>
              <w:spacing w:line="220" w:lineRule="exact"/>
              <w:widowControl/>
              <w:rPr>
                <w:rFonts w:eastAsia="宋体" w:cs="宋体"/>
                <w:sz w:val="18"/>
                <w:szCs w:val="18"/>
              </w:rPr>
            </w:pPr>
            <w:r>
              <w:rPr>
                <w:rFonts w:hint="eastAsia" w:eastAsia="宋体" w:cs="宋体"/>
                <w:sz w:val="18"/>
                <w:szCs w:val="18"/>
              </w:rPr>
              <w:t xml:space="preserve">配备遥控器，额外含2块电池、充电管家、增强图传等配件。</w:t>
            </w:r>
            <w:r/>
          </w:p>
          <w:p>
            <w:pPr>
              <w:pStyle w:val="883"/>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8、无人机设备包含3年保险。</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106"/>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农产品快检设备</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食品安全检测仪（含试剂）及操作台</w:t>
            </w:r>
            <w:r/>
          </w:p>
        </w:tc>
        <w:tc>
          <w:tcPr>
            <w:shd w:val="clear" w:color="auto" w:fill="auto"/>
            <w:tcW w:w="3223" w:type="pct"/>
            <w:vAlign w:val="center"/>
            <w:textDirection w:val="lrTb"/>
            <w:noWrap w:val="false"/>
          </w:tcPr>
          <w:p>
            <w:pPr>
              <w:numPr>
                <w:ilvl w:val="0"/>
                <w:numId w:val="8"/>
              </w:numPr>
              <w:jc w:val="left"/>
              <w:spacing w:line="220" w:lineRule="exact"/>
              <w:widowControl/>
              <w:rPr>
                <w:rFonts w:ascii="宋体" w:hAnsi="宋体" w:cs="宋体"/>
                <w:sz w:val="18"/>
                <w:szCs w:val="18"/>
              </w:rPr>
            </w:pPr>
            <w:r>
              <w:rPr>
                <w:rFonts w:hint="eastAsia" w:ascii="宋体" w:hAnsi="宋体" w:cs="宋体"/>
                <w:sz w:val="18"/>
                <w:szCs w:val="18"/>
              </w:rPr>
              <w:t xml:space="preserve">设备参数：波长配置：410nm；抑制率显示范围：0%～100%；抑制率测量范围：0%～100%；透射比准确度：±1.5%；透射比重复性：≤0.5%；漂移：≤0.005Abs/3min；抑制率示值误差：≤10%；抑制率重复性：≤5%</w:t>
            </w:r>
            <w:r>
              <w:rPr>
                <w:rFonts w:hint="eastAsia" w:ascii="宋体" w:hAnsi="宋体" w:cs="宋体"/>
                <w:sz w:val="18"/>
                <w:szCs w:val="18"/>
              </w:rPr>
              <w:br/>
              <w:t xml:space="preserve">2、安卓智能操作系统，仪器具有无线联网上传功能，进行数据统计和分析。</w:t>
            </w:r>
            <w:r>
              <w:rPr>
                <w:rFonts w:hint="eastAsia" w:ascii="宋体" w:hAnsi="宋体" w:cs="宋体"/>
                <w:sz w:val="18"/>
                <w:szCs w:val="18"/>
              </w:rPr>
              <w:br/>
              <w:t xml:space="preserve">3、仪器具有自检功能：具有开机自检和调零功能，具有自动检测重复性功能；同时，检测完成可自动打印检测报告和二维码。手机扫码可显示出详细检测信息。</w:t>
            </w:r>
            <w:r>
              <w:rPr>
                <w:rFonts w:hint="eastAsia" w:ascii="宋体" w:hAnsi="宋体" w:cs="宋体"/>
                <w:sz w:val="18"/>
                <w:szCs w:val="18"/>
              </w:rPr>
              <w:br/>
              <w:t xml:space="preserve">4、仪器带有监管平台，数据可局域网和互联网数据上传，检测结果直接传至食品安全监管平台。进行区域食品安全监管及大数据分析处理与数据统计，检测区域食品安全长短期动态，达到食品安全问题预估、预警。</w:t>
            </w:r>
            <w:r/>
          </w:p>
          <w:p>
            <w:pPr>
              <w:jc w:val="left"/>
              <w:spacing w:line="220" w:lineRule="exact"/>
              <w:widowControl/>
              <w:rPr>
                <w:rFonts w:ascii="宋体" w:hAnsi="宋体" w:cs="宋体"/>
                <w:sz w:val="18"/>
                <w:szCs w:val="18"/>
              </w:rPr>
            </w:pPr>
            <w:r>
              <w:rPr>
                <w:rFonts w:hint="eastAsia" w:ascii="宋体" w:hAnsi="宋体" w:cs="宋体"/>
                <w:sz w:val="18"/>
                <w:szCs w:val="18"/>
              </w:rPr>
              <w:t xml:space="preserve">5、检测卡：黄曲霉素胶体金检测卡100个、呕吐物质胶体金检测卡100个、有机磷类其他农药残留胶体金检测卡300个。</w:t>
            </w:r>
            <w:r/>
          </w:p>
          <w:p>
            <w:pPr>
              <w:jc w:val="left"/>
              <w:spacing w:line="220" w:lineRule="exact"/>
              <w:widowControl/>
              <w:rPr>
                <w:sz w:val="18"/>
                <w:szCs w:val="18"/>
              </w:rPr>
            </w:pPr>
            <w:r>
              <w:rPr>
                <w:rFonts w:hint="eastAsia" w:ascii="宋体" w:hAnsi="宋体" w:cs="宋体"/>
                <w:sz w:val="18"/>
                <w:szCs w:val="18"/>
                <w:lang w:bidi="ar"/>
              </w:rPr>
              <w:t xml:space="preserve">6、1-2米实验操作台，带实验室水龙头，水电配备到位；试剂柜。</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5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21</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设备基础平台</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基础</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平台</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新建设备操作平台≥15m²（按设备现场具体情况确定），尺寸：3m*5m，平台为塑木地基，塑木板材2.3厚。</w:t>
            </w:r>
            <w:r>
              <w:rPr>
                <w:rFonts w:hint="eastAsia" w:ascii="宋体" w:hAnsi="宋体" w:cs="宋体"/>
                <w:sz w:val="18"/>
                <w:szCs w:val="18"/>
                <w:lang w:bidi="ar"/>
              </w:rPr>
              <w:br/>
              <w:t xml:space="preserve">新建围栏16m，围栏采用公园塑木架式，高出平台1.2m。</w:t>
            </w:r>
            <w:r>
              <w:rPr>
                <w:rFonts w:hint="eastAsia" w:ascii="宋体" w:hAnsi="宋体" w:cs="宋体"/>
                <w:sz w:val="18"/>
                <w:szCs w:val="18"/>
                <w:lang w:bidi="ar"/>
              </w:rPr>
              <w:br/>
              <w:t xml:space="preserve">围栏上开设1套1米宽人行门，材质及样式同围栏。</w:t>
            </w:r>
            <w:r/>
          </w:p>
          <w:p>
            <w:pPr>
              <w:spacing w:line="220" w:lineRule="exact"/>
              <w:widowControl/>
              <w:rPr>
                <w:sz w:val="18"/>
                <w:szCs w:val="18"/>
              </w:rPr>
            </w:pPr>
            <w:r>
              <w:rPr>
                <w:rFonts w:hint="eastAsia" w:ascii="宋体" w:hAnsi="宋体" w:cs="宋体"/>
                <w:sz w:val="18"/>
                <w:szCs w:val="18"/>
                <w:lang w:bidi="ar"/>
              </w:rPr>
              <w:t xml:space="preserve">人行栈道新建1.5米长（结合现场设备部署确定）塑木栈道，方便人员进出，塑木板材2.3厚；尺寸：1.5m*1m。</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042"/>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22</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系统对接及单点登入</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系统</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对接及单点登入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1、支持其他系统纳入统一身份认证，实现单点登录。</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2、所有监测数据要能够上传苏农云及采购人指定的相关系统，</w:t>
            </w:r>
            <w:r>
              <w:rPr>
                <w:rFonts w:hint="eastAsia" w:ascii="宋体" w:hAnsi="宋体" w:cs="宋体"/>
                <w:b/>
                <w:bCs/>
                <w:sz w:val="18"/>
                <w:szCs w:val="18"/>
                <w:lang w:bidi="ar"/>
              </w:rPr>
              <w:t xml:space="preserve">提供承诺函并加盖投标人公章。</w:t>
            </w:r>
            <w:r/>
          </w:p>
        </w:tc>
        <w:tc>
          <w:tcPr>
            <w:shd w:val="clear" w:color="auto" w:fill="auto"/>
            <w:tcW w:w="237" w:type="pct"/>
            <w:vAlign w:val="center"/>
            <w:textDirection w:val="lrTb"/>
            <w:noWrap/>
          </w:tcPr>
          <w:p>
            <w:pPr>
              <w:ind w:firstLine="90"/>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113"/>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23</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植保无人机</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植保无人机（含播撒）</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最大起飞重量（最大喷洒起飞重量：126 kg，标配2喷头+ 70L作业箱）；最大轴距：2440 mm；可设置最大飞行半径：2km；最大可承受风速：三级风（&lt;6 m/s)；电机 KV 值：6565 (r/min)/V；作业载荷：70 KG；作业箱容积：70 L；播撒作业箱容积：100 L；最大排料量：400 kg/min（复合肥）；播撒作业箱内部最大载重：70kg；测距范围：60m。</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92"/>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24</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223" w:type="pct"/>
            <w:vAlign w:val="center"/>
            <w:textDirection w:val="lrTb"/>
            <w:noWrap w:val="false"/>
          </w:tcPr>
          <w:p>
            <w:pPr>
              <w:spacing w:line="220" w:lineRule="exact"/>
              <w:widowControl/>
              <w:rPr>
                <w:rFonts w:ascii="宋体" w:hAnsi="宋体" w:cs="宋体"/>
                <w:sz w:val="18"/>
                <w:szCs w:val="18"/>
              </w:rPr>
            </w:pPr>
            <w:r>
              <w:rPr>
                <w:rFonts w:hint="eastAsia" w:ascii="宋体" w:hAnsi="宋体" w:cs="宋体"/>
                <w:sz w:val="18"/>
                <w:szCs w:val="18"/>
              </w:rPr>
              <w:t xml:space="preserve">农机自动驾驶系统以北斗定位系统为核心技术支撑，可实现高精度定位与自动化作业控制，显著提升农机作业效率与精度，降低人工操作强度。</w:t>
            </w:r>
            <w:r/>
          </w:p>
        </w:tc>
        <w:tc>
          <w:tcPr>
            <w:shd w:val="clear" w:color="auto" w:fill="auto"/>
            <w:tcW w:w="237" w:type="pct"/>
            <w:vAlign w:val="center"/>
            <w:textDirection w:val="lrTb"/>
            <w:noWrap/>
          </w:tcPr>
          <w:p>
            <w:pPr>
              <w:jc w:val="center"/>
              <w:spacing w:line="220" w:lineRule="exact"/>
              <w:widowControl/>
              <w:rPr>
                <w:rFonts w:ascii="宋体" w:hAnsi="宋体" w:cs="宋体"/>
                <w:color w:val="ff0000"/>
                <w:sz w:val="18"/>
                <w:szCs w:val="18"/>
              </w:rPr>
            </w:pPr>
            <w:r>
              <w:rPr>
                <w:rFonts w:hint="eastAsia" w:ascii="宋体" w:hAnsi="宋体" w:cs="宋体"/>
                <w:sz w:val="18"/>
                <w:szCs w:val="18"/>
              </w:rPr>
              <w:t xml:space="preserve">3</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563"/>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25</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项目施工</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w:t>
            </w:r>
            <w:r/>
          </w:p>
          <w:p>
            <w:pPr>
              <w:jc w:val="center"/>
              <w:spacing w:line="220" w:lineRule="exact"/>
              <w:widowControl/>
              <w:rPr>
                <w:rFonts w:ascii="宋体" w:hAnsi="宋体" w:cs="宋体"/>
                <w:sz w:val="18"/>
                <w:szCs w:val="18"/>
              </w:rPr>
            </w:pPr>
            <w:r>
              <w:rPr>
                <w:rFonts w:hint="eastAsia" w:ascii="宋体" w:hAnsi="宋体" w:cs="宋体"/>
                <w:sz w:val="18"/>
                <w:szCs w:val="18"/>
              </w:rPr>
              <w:t xml:space="preserve">施工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1.示范种植区设备安装普通工费；</w:t>
            </w:r>
            <w:r/>
          </w:p>
          <w:p>
            <w:pPr>
              <w:jc w:val="left"/>
              <w:spacing w:line="220" w:lineRule="exact"/>
              <w:widowControl/>
              <w:rPr>
                <w:rFonts w:ascii="宋体" w:hAnsi="宋体" w:cs="宋体"/>
                <w:sz w:val="18"/>
                <w:szCs w:val="18"/>
              </w:rPr>
            </w:pPr>
            <w:r>
              <w:rPr>
                <w:rFonts w:hint="eastAsia" w:ascii="宋体" w:hAnsi="宋体" w:cs="宋体"/>
                <w:sz w:val="18"/>
                <w:szCs w:val="18"/>
              </w:rPr>
              <w:t xml:space="preserve">2.项目弱电施工，包括综合布线、监控系统、弱电系统集成等。</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项</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8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26</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害虫性诱智能测报仪（核心产品）</w:t>
            </w:r>
            <w:r/>
          </w:p>
        </w:tc>
        <w:tc>
          <w:tcPr>
            <w:shd w:val="clear" w:color="auto" w:fill="auto"/>
            <w:tcW w:w="315"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▲1、设备符合《GB/T24689.1-2009植物保护机械 虫情测报灯》国家标准。（提供具有相关检测资质的国家权威机构出具的检测报告原件扫描件）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▲2、设备运行功率≤1W，待机功率≤0.5W。（提供具有相关检测资质的国家权威机构出具的检测报告原件扫描件）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3、设备应能识别包括但不限于稻纵卷叶螟、玉米螟、二化螟、大螟、斜纹夜蛾、甜菜夜蛾、草地贪夜蛾、粘虫、棉铃虫等主要害虫。设备实时监测数据可对接到电脑端数据分析平台。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4、害虫诱捕装置：诱捕器为PC材质，结构为反向三漏斗飞蛾类诱捕器。增加反向三漏斗蛾子防逃逸结构，整体横切面为梨形，纵切面似椅子形设计，增加害虫诱捕量。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电脑端数据分析平台具有，设备统计预览、设备分布、害虫预警设置、害虫监测、害虫趋势分析、多年同比分析等功能；能按害虫类别，地理区域筛选统计累计总数、平均数的趋势图。（提供软件平台应用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▲5.2、多维数据对比：支持不同诱捕器、不同区域、自定义分组及历史同期数据的对比分析。（提供具有相关检测资质的国家权威机构出具的检测报告原件扫描件）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5.3、卵、幼虫各龄期的短期预测：在全省、全市或自定义区域，依据未来15天气象数据的平均值和昆虫发育之间的关系，建立数学模型，预测下一代卵、幼虫各龄期的发生动态，并生成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5.4、田间成虫量的预测：基于该设备诱捕的雄成虫数量数据以及性比，基于数学算法模型，自动推算、预测田间实际的成虫总数量及相应的雌成虫数量。（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▲5.5、灯诱数据换算：基于数学算法模型，提供性诱数据与传统测报灯的灯下诱虫量换算功能。（提供具有相关检测资质的国家权威机构出具的检测报告原件扫描件）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▲5.7、自动生产植保虫情分析报告：支持客户自定义病虫情报模版，可生成并导出性诱虫情分析报告。（提供具有相关检测资质的国家权威机构出具的检测报告原件扫描件）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6、APP可查看时间段、每月、单日、每小时诱虫量数据。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▲7、设备可通过手机APP查看实时数据、历史数据。（以下手机APP功能均需提供软件平台截图）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7.1、APP支持Harmony鸿蒙、iOS苹果和Android安卓系统。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7.2、APP支持卵、幼虫各龄期的短期预测：依据未来15天气象数据的平均值和昆虫发育之间的关系，建立数学模型，预测下一代卵和幼虫各龄期的发生动态，并指导释放天敌和施药。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7.3、支持田间成虫量的预测：基于该设备诱捕的雄成虫数量数据以及性比，自动推算、预测田间实际的成虫总数量及相应的雌成虫数量。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7.4、具有灯诱数据换算：基于数学算法模型，提供性诱与传统测报灯（灯下诱虫量）的换算功能。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8、设备可查看预测未来2个月次代诱虫量，及发生动态，包括卵期、一二低龄龄幼虫期。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9、设备具有定位及导航、诱芯到期提醒等功能。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10、双计数系统：上下集虫器各带一个三层4对红外计数装置，自动计数进入集虫器的昆虫，计算总数后上传到服务器数据库。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11、自动计数功能：害虫经过红外感应器时，自动计数+1，间隔时间＜1S。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▲12、设备自动计数准确度不低于95%。（提供省级（含）以上农林业部门出具的应用证明或试验报告佐证）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13、终端储存发送功能：实时记录和存储诱捕器监测数据，储存时间≥12月。定时定向发送监测数据，同时具有自检、纠错功能。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14、网关数据接收功能：1小时/次接收终端数据，并通过无线网络发送到服务器。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15、网关和终端配置：一个网关可以配置多个终端。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设备采用太阳能板供电，单晶硅材质；功率：≥55W，可在-40°C-80°C气温下工作。蓄电池为锂电池，规格：12V,≥60Ah。连续阴雨天，设备正常运行不低于20天。设备立杆材质为喷塑铝管，整体高度不低于300CM，配防电机箱，材质 304不锈钢材质，外标防电标识，具防尘、防水功能。</w:t>
            </w:r>
            <w:r/>
          </w:p>
        </w:tc>
        <w:tc>
          <w:tcPr>
            <w:shd w:val="clear" w:color="auto" w:fill="auto"/>
            <w:tcW w:w="237"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814"/>
        </w:trPr>
        <w:tc>
          <w:tcPr>
            <w:gridSpan w:val="4"/>
            <w:shd w:val="clear" w:color="auto" w:fill="auto"/>
            <w:tcW w:w="4172" w:type="pct"/>
            <w:vAlign w:val="center"/>
            <w:textDirection w:val="lrTb"/>
            <w:noWrap/>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合计（元）</w:t>
            </w:r>
            <w:r/>
          </w:p>
        </w:tc>
        <w:tc>
          <w:tcPr>
            <w:gridSpan w:val="4"/>
            <w:shd w:val="clear" w:color="auto" w:fill="auto"/>
            <w:tcW w:w="827"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bl>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Cs/>
        </w:rPr>
      </w:pPr>
      <w:r>
        <w:rPr>
          <w:rFonts w:ascii="宋体" w:hAnsi="宋体"/>
          <w:bCs/>
        </w:rPr>
      </w:r>
      <w:r/>
    </w:p>
    <w:p>
      <w:pPr>
        <w:jc w:val="center"/>
        <w:rPr>
          <w:rFonts w:ascii="宋体" w:hAnsi="宋体"/>
          <w:bCs/>
        </w:rPr>
      </w:pPr>
      <w:r>
        <w:rPr>
          <w:rFonts w:ascii="宋体" w:hAnsi="宋体"/>
          <w:bCs/>
        </w:rPr>
      </w:r>
      <w:r/>
    </w:p>
    <w:p>
      <w:pPr>
        <w:jc w:val="left"/>
        <w:rPr>
          <w:rFonts w:ascii="宋体" w:hAnsi="宋体"/>
          <w:bCs/>
        </w:rPr>
      </w:pPr>
      <w:r>
        <w:rPr>
          <w:rFonts w:hint="eastAsia" w:ascii="宋体" w:hAnsi="宋体"/>
          <w:bCs/>
        </w:rPr>
        <w:t xml:space="preserve">分析说明（格式自拟）</w:t>
      </w:r>
      <w:r/>
    </w:p>
    <w:p>
      <w:pPr>
        <w:jc w:val="center"/>
        <w:rPr>
          <w:rFonts w:ascii="宋体" w:hAnsi="宋体"/>
          <w:bCs/>
        </w:rPr>
      </w:pPr>
      <w:r>
        <w:rPr>
          <w:rFonts w:ascii="宋体" w:hAnsi="宋体"/>
          <w:bCs/>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pPr>
      <w:r/>
      <w:r/>
    </w:p>
    <w:p>
      <w:pPr>
        <w:ind w:firstLine="3360"/>
        <w:spacing w:before="16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6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6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bookmarkEnd w:id="341"/>
      <w:r/>
      <w:bookmarkEnd w:id="342"/>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83"/>
        <w:rPr>
          <w:rFonts w:asciiTheme="minorEastAsia" w:hAnsiTheme="minorEastAsia" w:eastAsiaTheme="minorEastAsia"/>
        </w:rPr>
      </w:pPr>
      <w:r>
        <w:rPr>
          <w:rFonts w:asciiTheme="minorEastAsia" w:hAnsiTheme="minorEastAsia" w:eastAsiaTheme="minorEastAsia"/>
        </w:rPr>
      </w:r>
      <w:r/>
    </w:p>
    <w:p>
      <w:r/>
      <w:bookmarkEnd w:id="343"/>
      <w:r/>
      <w:bookmarkEnd w:id="344"/>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886"/>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886"/>
        <w:jc w:val="center"/>
        <w:spacing w:line="500" w:lineRule="exact"/>
        <w:rPr>
          <w:rFonts w:cs="宋体" w:asciiTheme="minorEastAsia" w:hAnsiTheme="minorEastAsia" w:eastAsiaTheme="minorEastAsia"/>
          <w:b/>
          <w:sz w:val="28"/>
          <w:szCs w:val="28"/>
        </w:rPr>
      </w:pPr>
      <w:r/>
      <w:bookmarkStart w:id="345" w:name="OLE_LINK84"/>
      <w:r/>
      <w:bookmarkStart w:id="346" w:name="OLE_LINK87"/>
      <w:r/>
      <w:bookmarkStart w:id="347" w:name="OLE_LINK86"/>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88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88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88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ind w:firstLine="560"/>
        <w:spacing w:line="52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4.我公司参加政府采购活动前三年内，在经营活动中没有重大违法记录，无贿赂工作人员等违法记录；</w:t>
      </w:r>
      <w:r/>
    </w:p>
    <w:p>
      <w:pPr>
        <w:pStyle w:val="88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88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45"/>
      <w:r/>
      <w:bookmarkEnd w:id="346"/>
      <w:r/>
      <w:bookmarkEnd w:id="347"/>
      <w:r/>
      <w:r/>
    </w:p>
    <w:p>
      <w:pPr>
        <w:pStyle w:val="886"/>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86"/>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88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48" w:name="OLE_LINK83"/>
      <w:r/>
      <w:bookmarkStart w:id="349" w:name="OLE_LINK82"/>
      <w:r/>
      <w:bookmarkStart w:id="350" w:name="OLE_LINK88"/>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921"/>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921"/>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p>
    <w:p>
      <w:pPr>
        <w:pStyle w:val="885"/>
        <w:ind w:firstLine="0"/>
        <w:spacing w:line="400" w:lineRule="exact"/>
        <w:rPr>
          <w:rFonts w:ascii="宋体" w:hAnsi="宋体" w:cs="宋体"/>
          <w:sz w:val="28"/>
          <w:szCs w:val="28"/>
        </w:rPr>
      </w:pPr>
      <w:r>
        <w:rPr>
          <w:rFonts w:hint="eastAsia" w:ascii="宋体" w:hAnsi="宋体" w:cs="宋体"/>
          <w:b/>
          <w:sz w:val="28"/>
          <w:szCs w:val="28"/>
        </w:rPr>
        <w:t xml:space="preserve">3、供应商提供的声明函内容不实的，属于提供虚假材料谋取中标，依照《中华人民共和国政府采购法》等国家有关规定追究相应责任。</w:t>
      </w:r>
      <w:bookmarkEnd w:id="348"/>
      <w:r/>
      <w:bookmarkEnd w:id="349"/>
      <w:r/>
      <w:bookmarkEnd w:id="350"/>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rPr>
          <w:rFonts w:cs="宋体" w:asciiTheme="majorEastAsia" w:hAnsiTheme="majorEastAsia" w:eastAsiaTheme="majorEastAsia"/>
          <w:sz w:val="28"/>
          <w:szCs w:val="28"/>
        </w:rPr>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center"/>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关于符合本国产品标准的声明函</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(产品名称1)</w:t>
      </w:r>
      <w:r>
        <w:rPr>
          <w:rFonts w:hint="eastAsia" w:ascii="宋体" w:hAnsi="宋体" w:cs="宋体"/>
          <w:sz w:val="28"/>
          <w:szCs w:val="28"/>
        </w:rPr>
        <w:t xml:space="preserve">，生产厂为</w:t>
      </w:r>
      <w:r>
        <w:rPr>
          <w:rFonts w:hint="eastAsia" w:ascii="宋体" w:hAnsi="宋体" w:cs="宋体"/>
          <w:sz w:val="28"/>
          <w:szCs w:val="28"/>
          <w:u w:val="single"/>
        </w:rPr>
        <w:t xml:space="preserve">(厂名)2</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(产品名称2)</w:t>
      </w:r>
      <w:r>
        <w:rPr>
          <w:rFonts w:hint="eastAsia" w:ascii="宋体" w:hAnsi="宋体" w:cs="宋体"/>
          <w:sz w:val="28"/>
          <w:szCs w:val="28"/>
        </w:rPr>
        <w:t xml:space="preserve">，生产厂为</w:t>
      </w:r>
      <w:r>
        <w:rPr>
          <w:rFonts w:hint="eastAsia" w:ascii="宋体" w:hAnsi="宋体" w:cs="宋体"/>
          <w:sz w:val="28"/>
          <w:szCs w:val="28"/>
          <w:u w:val="single"/>
        </w:rPr>
        <w:t xml:space="preserve">(厂名)</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ascii="宋体" w:hAnsi="宋体" w:cs="宋体"/>
          <w:sz w:val="28"/>
          <w:szCs w:val="28"/>
        </w:rPr>
      </w:r>
      <w:r/>
    </w:p>
    <w:p>
      <w:pPr>
        <w:pStyle w:val="883"/>
      </w:pPr>
      <w:r/>
      <w:r/>
    </w:p>
    <w:p>
      <w:pPr>
        <w:ind w:firstLine="424"/>
        <w:spacing w:line="500" w:lineRule="exact"/>
        <w:rPr>
          <w:rFonts w:ascii="宋体" w:hAnsi="宋体" w:cs="宋体"/>
          <w:sz w:val="21"/>
          <w:szCs w:val="21"/>
        </w:rPr>
      </w:pPr>
      <w:r>
        <w:rPr>
          <w:rFonts w:hint="eastAsia" w:ascii="宋体" w:hAnsi="宋体" w:cs="宋体"/>
          <w:sz w:val="21"/>
          <w:szCs w:val="21"/>
        </w:rPr>
        <w:t xml:space="preserve">1.产品如有型号，请在“产品名称”栏一并填写。</w:t>
      </w:r>
      <w:r/>
    </w:p>
    <w:p>
      <w:pPr>
        <w:ind w:firstLine="424"/>
        <w:spacing w:line="500" w:lineRule="exact"/>
        <w:rPr>
          <w:rFonts w:ascii="宋体" w:hAnsi="宋体" w:cs="宋体"/>
          <w:sz w:val="21"/>
          <w:szCs w:val="21"/>
        </w:rPr>
      </w:pPr>
      <w:r>
        <w:rPr>
          <w:rFonts w:hint="eastAsia" w:ascii="宋体" w:hAnsi="宋体" w:cs="宋体"/>
          <w:sz w:val="21"/>
          <w:szCs w:val="21"/>
        </w:rPr>
        <w:t xml:space="preserve">2.生产厂名与厂址应与生产厂营业执照载明的相关信息保持一致。</w:t>
      </w:r>
      <w:r/>
    </w:p>
    <w:p>
      <w:pPr>
        <w:ind w:firstLine="424"/>
        <w:spacing w:line="500" w:lineRule="exact"/>
        <w:rPr>
          <w:rFonts w:ascii="宋体" w:hAnsi="宋体" w:cs="宋体"/>
          <w:sz w:val="21"/>
          <w:szCs w:val="21"/>
        </w:rPr>
      </w:pPr>
      <w:r>
        <w:rPr>
          <w:rFonts w:hint="eastAsia" w:ascii="宋体" w:hAnsi="宋体" w:cs="宋体"/>
          <w:sz w:val="21"/>
          <w:szCs w:val="21"/>
        </w:rPr>
        <w:t xml:space="preserve">3.该产品的中国境内生产的组件成本占比相关要求实施前，“规定比例”栏可不填，下同。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4.该产品的关键组件要求实施前，“关键组件”栏可不填，下同。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5.该产品的关键工序要求实施前，“关键工序”栏可不填，下同。</w:t>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本公司(单位)对上述声明内容的真实性负责。如有虚假，愿承担相应法律责任。</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ascii="宋体" w:hAnsi="宋体" w:cs="宋体"/>
          <w:sz w:val="28"/>
          <w:szCs w:val="28"/>
        </w:rPr>
      </w:r>
      <w:r/>
    </w:p>
    <w:p>
      <w:pPr>
        <w:ind w:firstLine="4483"/>
        <w:spacing w:line="500" w:lineRule="exact"/>
        <w:rPr>
          <w:rFonts w:ascii="宋体" w:hAnsi="宋体" w:cs="宋体"/>
          <w:sz w:val="28"/>
          <w:szCs w:val="28"/>
        </w:rPr>
      </w:pPr>
      <w:r>
        <w:rPr>
          <w:rFonts w:hint="eastAsia" w:ascii="宋体" w:hAnsi="宋体" w:cs="宋体"/>
          <w:sz w:val="28"/>
          <w:szCs w:val="28"/>
        </w:rPr>
        <w:t xml:space="preserve">公司(单位)名称(盖章):</w:t>
      </w:r>
      <w:r/>
    </w:p>
    <w:p>
      <w:pPr>
        <w:ind w:firstLine="4480"/>
        <w:spacing w:line="500" w:lineRule="exact"/>
        <w:rPr>
          <w:rFonts w:ascii="宋体" w:hAnsi="宋体" w:cs="宋体"/>
          <w:sz w:val="28"/>
          <w:szCs w:val="28"/>
        </w:rPr>
      </w:pPr>
      <w:r>
        <w:rPr>
          <w:rFonts w:hint="eastAsia" w:ascii="宋体" w:hAnsi="宋体" w:cs="宋体"/>
          <w:sz w:val="28"/>
          <w:szCs w:val="28"/>
        </w:rPr>
        <w:t xml:space="preserve">日期:</w:t>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bookmarkStart w:id="351" w:name="OLE_LINK80"/>
      <w:r/>
      <w:bookmarkStart w:id="352" w:name="OLE_LINK90"/>
      <w:r/>
      <w:bookmarkStart w:id="353" w:name="OLE_LINK81"/>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599"/>
        <w:gridCol w:w="888"/>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是否偏离</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bookmarkEnd w:id="351"/>
            <w:r/>
            <w:bookmarkEnd w:id="352"/>
            <w:r/>
            <w:bookmarkEnd w:id="353"/>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904"/>
        <w:ind w:firstLine="643"/>
        <w:rPr>
          <w:rFonts w:ascii="楷体" w:hAnsi="楷体" w:eastAsia="楷体" w:cs="宋体"/>
          <w:b/>
          <w:sz w:val="32"/>
        </w:rPr>
      </w:pPr>
      <w:r>
        <w:rPr>
          <w:rFonts w:ascii="楷体" w:hAnsi="楷体" w:eastAsia="楷体" w:cs="宋体"/>
          <w:b/>
          <w:sz w:val="32"/>
        </w:rPr>
      </w:r>
      <w:r/>
    </w:p>
    <w:p>
      <w:pPr>
        <w:pStyle w:val="890"/>
        <w:rPr>
          <w:rFonts w:ascii="楷体" w:hAnsi="楷体" w:eastAsia="楷体" w:cs="宋体"/>
          <w:b/>
        </w:rPr>
      </w:pPr>
      <w:r>
        <w:rPr>
          <w:rFonts w:ascii="楷体" w:hAnsi="楷体" w:eastAsia="楷体" w:cs="宋体"/>
          <w:b/>
        </w:rPr>
      </w:r>
      <w:r/>
    </w:p>
    <w:p>
      <w:pPr>
        <w:pStyle w:val="897"/>
        <w:rPr>
          <w:rFonts w:ascii="楷体" w:hAnsi="楷体" w:eastAsia="楷体" w:cs="宋体"/>
          <w:b/>
          <w:sz w:val="32"/>
          <w:szCs w:val="32"/>
        </w:rPr>
      </w:pPr>
      <w:r>
        <w:rPr>
          <w:rFonts w:ascii="楷体" w:hAnsi="楷体" w:eastAsia="楷体" w:cs="宋体"/>
          <w:b/>
          <w:sz w:val="32"/>
          <w:szCs w:val="32"/>
        </w:rPr>
      </w:r>
      <w:r/>
    </w:p>
    <w:p>
      <w:pPr>
        <w:pStyle w:val="897"/>
        <w:rPr>
          <w:rFonts w:ascii="楷体" w:hAnsi="楷体" w:eastAsia="楷体" w:cs="宋体"/>
          <w:b/>
          <w:sz w:val="32"/>
          <w:szCs w:val="32"/>
        </w:rPr>
      </w:pPr>
      <w:r>
        <w:rPr>
          <w:rFonts w:ascii="楷体" w:hAnsi="楷体" w:eastAsia="楷体" w:cs="宋体"/>
          <w:b/>
          <w:sz w:val="32"/>
          <w:szCs w:val="32"/>
        </w:rPr>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7749"/>
      <w:rPr/>
    </w:sdtPr>
    <w:sdtContent>
      <w:p>
        <w:pPr>
          <w:pStyle w:val="896"/>
          <w:jc w:val="center"/>
        </w:pPr>
        <w:r>
          <w:fldChar w:fldCharType="begin"/>
        </w:r>
        <w:r>
          <w:instrText xml:space="preserve">PAGE   \* MERGEFORMAT</w:instrText>
        </w:r>
        <w:r>
          <w:fldChar w:fldCharType="separate"/>
        </w:r>
        <w:r>
          <w:rPr>
            <w:lang w:val="zh-CN"/>
          </w:rPr>
          <w:t xml:space="preserve">25</w:t>
        </w:r>
        <w:r>
          <w:rPr>
            <w:lang w:val="zh-CN"/>
          </w:rP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pStyle w:val="93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6"/>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0"/>
    <w:link w:val="876"/>
    <w:uiPriority w:val="9"/>
    <w:rPr>
      <w:rFonts w:ascii="Arial" w:hAnsi="Arial" w:eastAsia="Arial" w:cs="Arial"/>
      <w:sz w:val="40"/>
      <w:szCs w:val="40"/>
    </w:rPr>
  </w:style>
  <w:style w:type="character" w:styleId="709">
    <w:name w:val="Heading 2 Char"/>
    <w:basedOn w:val="880"/>
    <w:link w:val="877"/>
    <w:uiPriority w:val="9"/>
    <w:rPr>
      <w:rFonts w:ascii="Arial" w:hAnsi="Arial" w:eastAsia="Arial" w:cs="Arial"/>
      <w:sz w:val="34"/>
    </w:rPr>
  </w:style>
  <w:style w:type="character" w:styleId="710">
    <w:name w:val="Heading 3 Char"/>
    <w:basedOn w:val="880"/>
    <w:link w:val="878"/>
    <w:uiPriority w:val="9"/>
    <w:rPr>
      <w:rFonts w:ascii="Arial" w:hAnsi="Arial" w:eastAsia="Arial" w:cs="Arial"/>
      <w:sz w:val="30"/>
      <w:szCs w:val="30"/>
    </w:rPr>
  </w:style>
  <w:style w:type="character" w:styleId="711">
    <w:name w:val="Heading 4 Char"/>
    <w:basedOn w:val="880"/>
    <w:link w:val="879"/>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80"/>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0"/>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0"/>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0"/>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0"/>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5"/>
    <w:next w:val="875"/>
    <w:link w:val="724"/>
    <w:uiPriority w:val="10"/>
    <w:qFormat/>
    <w:pPr>
      <w:contextualSpacing/>
      <w:spacing w:before="300" w:after="200"/>
    </w:pPr>
    <w:rPr>
      <w:sz w:val="48"/>
      <w:szCs w:val="48"/>
    </w:rPr>
  </w:style>
  <w:style w:type="character" w:styleId="724">
    <w:name w:val="Title Char"/>
    <w:basedOn w:val="880"/>
    <w:link w:val="723"/>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80"/>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0"/>
    <w:link w:val="898"/>
    <w:uiPriority w:val="99"/>
  </w:style>
  <w:style w:type="character" w:styleId="732">
    <w:name w:val="Footer Char"/>
    <w:basedOn w:val="880"/>
    <w:link w:val="896"/>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96"/>
    <w:uiPriority w:val="99"/>
  </w:style>
  <w:style w:type="table" w:styleId="735">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5"/>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0"/>
    <w:uiPriority w:val="99"/>
    <w:unhideWhenUsed/>
    <w:rPr>
      <w:vertAlign w:val="superscript"/>
    </w:rPr>
  </w:style>
  <w:style w:type="paragraph" w:styleId="863">
    <w:name w:val="endnote text"/>
    <w:basedOn w:val="875"/>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0"/>
    <w:uiPriority w:val="99"/>
    <w:semiHidden/>
    <w:unhideWhenUsed/>
    <w:rPr>
      <w:vertAlign w:val="superscript"/>
    </w:rPr>
  </w:style>
  <w:style w:type="paragraph" w:styleId="866">
    <w:name w:val="toc 2"/>
    <w:basedOn w:val="875"/>
    <w:next w:val="875"/>
    <w:uiPriority w:val="39"/>
    <w:unhideWhenUsed/>
    <w:pPr>
      <w:ind w:left="283"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3"/>
    <w:qFormat/>
    <w:pPr>
      <w:jc w:val="both"/>
      <w:widowControl w:val="off"/>
    </w:pPr>
    <w:rPr>
      <w:sz w:val="24"/>
      <w:szCs w:val="24"/>
    </w:rPr>
  </w:style>
  <w:style w:type="paragraph" w:styleId="876">
    <w:name w:val="Heading 1"/>
    <w:basedOn w:val="875"/>
    <w:next w:val="875"/>
    <w:qFormat/>
    <w:pPr>
      <w:keepLines/>
      <w:keepNext/>
      <w:spacing w:before="340" w:after="330" w:line="578" w:lineRule="auto"/>
      <w:outlineLvl w:val="0"/>
    </w:pPr>
    <w:rPr>
      <w:b/>
      <w:bCs/>
      <w:sz w:val="44"/>
      <w:szCs w:val="44"/>
    </w:rPr>
  </w:style>
  <w:style w:type="paragraph" w:styleId="877">
    <w:name w:val="Heading 2"/>
    <w:basedOn w:val="884"/>
    <w:next w:val="875"/>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8">
    <w:name w:val="Heading 3"/>
    <w:basedOn w:val="875"/>
    <w:next w:val="875"/>
    <w:qFormat/>
    <w:pPr>
      <w:keepLines/>
      <w:keepNext/>
      <w:spacing w:before="260" w:after="260" w:line="415" w:lineRule="auto"/>
      <w:outlineLvl w:val="2"/>
    </w:pPr>
    <w:rPr>
      <w:sz w:val="32"/>
      <w:szCs w:val="32"/>
    </w:rPr>
  </w:style>
  <w:style w:type="paragraph" w:styleId="879">
    <w:name w:val="Heading 4"/>
    <w:basedOn w:val="875"/>
    <w:next w:val="875"/>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customStyle="1">
    <w:name w:val="Default"/>
    <w:next w:val="875"/>
    <w:uiPriority w:val="99"/>
    <w:qFormat/>
    <w:pPr>
      <w:widowControl w:val="off"/>
    </w:pPr>
    <w:rPr>
      <w:rFonts w:ascii="仿宋" w:eastAsia="仿宋" w:cs="仿宋"/>
      <w:color w:val="000000"/>
      <w:sz w:val="24"/>
      <w:szCs w:val="24"/>
    </w:rPr>
  </w:style>
  <w:style w:type="paragraph" w:styleId="884">
    <w:name w:val="List Paragraph"/>
    <w:basedOn w:val="875"/>
    <w:uiPriority w:val="34"/>
    <w:qFormat/>
    <w:pPr>
      <w:ind w:firstLine="420"/>
    </w:pPr>
    <w:rPr>
      <w:rFonts w:eastAsia="Times New Roman"/>
    </w:rPr>
  </w:style>
  <w:style w:type="paragraph" w:styleId="885">
    <w:name w:val="Normal Indent"/>
    <w:basedOn w:val="875"/>
    <w:next w:val="875"/>
    <w:qFormat/>
    <w:pPr>
      <w:ind w:firstLine="420"/>
    </w:pPr>
    <w:rPr>
      <w:szCs w:val="21"/>
    </w:rPr>
  </w:style>
  <w:style w:type="paragraph" w:styleId="886">
    <w:name w:val="Document Map"/>
    <w:basedOn w:val="875"/>
    <w:link w:val="925"/>
    <w:uiPriority w:val="99"/>
    <w:unhideWhenUsed/>
    <w:qFormat/>
    <w:rPr>
      <w:rFonts w:ascii="宋体"/>
      <w:sz w:val="18"/>
      <w:szCs w:val="18"/>
    </w:rPr>
  </w:style>
  <w:style w:type="paragraph" w:styleId="887">
    <w:name w:val="annotation text"/>
    <w:basedOn w:val="875"/>
    <w:link w:val="926"/>
    <w:uiPriority w:val="99"/>
    <w:unhideWhenUsed/>
    <w:qFormat/>
    <w:pPr>
      <w:jc w:val="left"/>
    </w:pPr>
  </w:style>
  <w:style w:type="paragraph" w:styleId="888">
    <w:name w:val="Body Text"/>
    <w:basedOn w:val="875"/>
    <w:next w:val="889"/>
    <w:link w:val="919"/>
    <w:uiPriority w:val="99"/>
    <w:qFormat/>
    <w:pPr>
      <w:spacing w:after="120"/>
    </w:pPr>
  </w:style>
  <w:style w:type="paragraph" w:styleId="889">
    <w:name w:val="Body Text 2"/>
    <w:basedOn w:val="875"/>
    <w:qFormat/>
    <w:pPr>
      <w:jc w:val="center"/>
      <w:widowControl/>
    </w:pPr>
    <w:rPr>
      <w:rFonts w:ascii="楷体_GB2312" w:hAnsi="Calibri" w:eastAsia="楷体_GB2312"/>
      <w:sz w:val="28"/>
      <w:szCs w:val="28"/>
    </w:rPr>
  </w:style>
  <w:style w:type="paragraph" w:styleId="890">
    <w:name w:val="Body Text Indent"/>
    <w:basedOn w:val="875"/>
    <w:qFormat/>
    <w:pPr>
      <w:ind w:firstLine="645"/>
    </w:pPr>
    <w:rPr>
      <w:rFonts w:ascii="楷体_GB2312" w:hAnsi="Calibri" w:eastAsia="楷体_GB2312"/>
      <w:sz w:val="32"/>
      <w:szCs w:val="32"/>
    </w:rPr>
  </w:style>
  <w:style w:type="paragraph" w:styleId="891">
    <w:name w:val="Block Text"/>
    <w:basedOn w:val="875"/>
    <w:qFormat/>
    <w:pPr>
      <w:ind w:left="256" w:right="6" w:firstLine="624"/>
    </w:pPr>
    <w:rPr>
      <w:rFonts w:eastAsia="仿宋"/>
      <w:sz w:val="28"/>
      <w:szCs w:val="20"/>
    </w:rPr>
  </w:style>
  <w:style w:type="paragraph" w:styleId="892">
    <w:name w:val="toc 3"/>
    <w:basedOn w:val="875"/>
    <w:next w:val="875"/>
    <w:uiPriority w:val="39"/>
    <w:qFormat/>
    <w:pPr>
      <w:ind w:left="420"/>
      <w:jc w:val="left"/>
    </w:pPr>
    <w:rPr>
      <w:i/>
      <w:iCs/>
      <w:sz w:val="20"/>
      <w:szCs w:val="20"/>
    </w:rPr>
  </w:style>
  <w:style w:type="paragraph" w:styleId="893">
    <w:name w:val="Plain Text"/>
    <w:basedOn w:val="875"/>
    <w:qFormat/>
    <w:rPr>
      <w:rFonts w:ascii="宋体" w:hAnsi="Courier New"/>
      <w:szCs w:val="22"/>
    </w:rPr>
  </w:style>
  <w:style w:type="paragraph" w:styleId="894">
    <w:name w:val="Date"/>
    <w:basedOn w:val="875"/>
    <w:next w:val="875"/>
    <w:qFormat/>
    <w:rPr>
      <w:rFonts w:ascii="Calibri" w:hAnsi="Calibri"/>
    </w:rPr>
  </w:style>
  <w:style w:type="paragraph" w:styleId="895">
    <w:name w:val="Balloon Text"/>
    <w:basedOn w:val="875"/>
    <w:link w:val="924"/>
    <w:uiPriority w:val="99"/>
    <w:semiHidden/>
    <w:unhideWhenUsed/>
    <w:qFormat/>
    <w:rPr>
      <w:sz w:val="18"/>
      <w:szCs w:val="18"/>
    </w:rPr>
  </w:style>
  <w:style w:type="paragraph" w:styleId="896">
    <w:name w:val="Footer"/>
    <w:basedOn w:val="875"/>
    <w:link w:val="923"/>
    <w:uiPriority w:val="99"/>
    <w:unhideWhenUsed/>
    <w:qFormat/>
    <w:pPr>
      <w:jc w:val="left"/>
      <w:tabs>
        <w:tab w:val="center" w:pos="4153" w:leader="none"/>
        <w:tab w:val="right" w:pos="8306" w:leader="none"/>
      </w:tabs>
    </w:pPr>
    <w:rPr>
      <w:sz w:val="18"/>
      <w:szCs w:val="18"/>
    </w:rPr>
  </w:style>
  <w:style w:type="paragraph" w:styleId="897">
    <w:name w:val="envelope return"/>
    <w:basedOn w:val="875"/>
    <w:qFormat/>
    <w:rPr>
      <w:rFonts w:ascii="Arial" w:hAnsi="Arial"/>
    </w:rPr>
  </w:style>
  <w:style w:type="paragraph" w:styleId="898">
    <w:name w:val="Header"/>
    <w:basedOn w:val="875"/>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5"/>
    <w:next w:val="875"/>
    <w:qFormat/>
    <w:rPr>
      <w:rFonts w:ascii="宋体"/>
    </w:rPr>
  </w:style>
  <w:style w:type="paragraph" w:styleId="900">
    <w:name w:val="Body Text Indent 3"/>
    <w:basedOn w:val="875"/>
    <w:link w:val="920"/>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901">
    <w:name w:val="HTML Preformatted"/>
    <w:basedOn w:val="875"/>
    <w:unhideWhenUsed/>
    <w:qFormat/>
    <w:rPr>
      <w:rFonts w:ascii="Courier New" w:hAnsi="Courier New" w:cs="Courier New"/>
      <w:sz w:val="20"/>
    </w:rPr>
  </w:style>
  <w:style w:type="paragraph" w:styleId="902">
    <w:name w:val="Normal (Web)"/>
    <w:basedOn w:val="875"/>
    <w:uiPriority w:val="99"/>
    <w:qFormat/>
    <w:pPr>
      <w:jc w:val="left"/>
      <w:spacing w:before="150" w:after="150" w:line="480" w:lineRule="auto"/>
    </w:pPr>
    <w:rPr>
      <w:rFonts w:hint="eastAsia" w:ascii="宋体" w:hAnsi="宋体"/>
      <w:color w:val="000000"/>
    </w:rPr>
  </w:style>
  <w:style w:type="paragraph" w:styleId="903">
    <w:name w:val="annotation subject"/>
    <w:basedOn w:val="887"/>
    <w:next w:val="887"/>
    <w:link w:val="927"/>
    <w:uiPriority w:val="99"/>
    <w:semiHidden/>
    <w:unhideWhenUsed/>
    <w:qFormat/>
    <w:rPr>
      <w:b/>
      <w:bCs/>
    </w:rPr>
  </w:style>
  <w:style w:type="paragraph" w:styleId="904">
    <w:name w:val="Body Text First Indent 2"/>
    <w:basedOn w:val="890"/>
    <w:qFormat/>
    <w:pPr>
      <w:ind w:firstLine="420"/>
      <w:spacing w:line="360" w:lineRule="auto"/>
    </w:pPr>
    <w:rPr>
      <w:rFonts w:ascii="宋体" w:hAnsi="宋体"/>
      <w:sz w:val="21"/>
    </w:rPr>
  </w:style>
  <w:style w:type="table" w:styleId="905">
    <w:name w:val="Table Grid"/>
    <w:basedOn w:val="881"/>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80"/>
    <w:uiPriority w:val="22"/>
    <w:qFormat/>
    <w:rPr>
      <w:b/>
    </w:rPr>
  </w:style>
  <w:style w:type="character" w:styleId="907">
    <w:name w:val="Hyperlink"/>
    <w:uiPriority w:val="99"/>
    <w:qFormat/>
    <w:rPr>
      <w:rFonts w:cs="Times New Roman"/>
      <w:color w:val="336699"/>
      <w:sz w:val="18"/>
      <w:u w:val="none"/>
    </w:rPr>
  </w:style>
  <w:style w:type="character" w:styleId="908">
    <w:name w:val="annotation reference"/>
    <w:basedOn w:val="880"/>
    <w:uiPriority w:val="99"/>
    <w:semiHidden/>
    <w:unhideWhenUsed/>
    <w:qFormat/>
    <w:rPr>
      <w:sz w:val="21"/>
      <w:szCs w:val="21"/>
    </w:rPr>
  </w:style>
  <w:style w:type="paragraph" w:styleId="909" w:customStyle="1">
    <w:name w:val="正文首行缩进 211"/>
    <w:basedOn w:val="910"/>
    <w:next w:val="912"/>
    <w:qFormat/>
    <w:pPr>
      <w:ind w:left="0" w:firstLine="420"/>
      <w:spacing w:after="0" w:line="360" w:lineRule="auto"/>
    </w:pPr>
    <w:rPr>
      <w:rFonts w:ascii="宋体" w:hAnsi="宋体"/>
      <w:szCs w:val="20"/>
    </w:rPr>
  </w:style>
  <w:style w:type="paragraph" w:styleId="910" w:customStyle="1">
    <w:name w:val="正文文本缩进11"/>
    <w:basedOn w:val="875"/>
    <w:next w:val="911"/>
    <w:unhideWhenUsed/>
    <w:qFormat/>
    <w:pPr>
      <w:ind w:left="420"/>
      <w:spacing w:after="120"/>
    </w:pPr>
  </w:style>
  <w:style w:type="paragraph" w:styleId="911" w:customStyle="1">
    <w:name w:val="寄信人地址11"/>
    <w:basedOn w:val="875"/>
    <w:qFormat/>
    <w:rPr>
      <w:rFonts w:ascii="Arial" w:hAnsi="Arial"/>
    </w:rPr>
  </w:style>
  <w:style w:type="paragraph" w:styleId="912" w:customStyle="1">
    <w:name w:val="样式 标题 3 + (中文) 黑体 小四 非加粗 段前: 7.8 磅 段后: 0 磅 行距: 固定值 20 磅_0"/>
    <w:basedOn w:val="913"/>
    <w:qFormat/>
    <w:pPr>
      <w:spacing w:before="0" w:after="0" w:line="400" w:lineRule="exact"/>
    </w:pPr>
    <w:rPr>
      <w:rFonts w:ascii="Times New Roman" w:hAnsi="Times New Roman" w:eastAsia="黑体" w:cs="宋体"/>
      <w:b w:val="0"/>
      <w:bCs w:val="0"/>
      <w:sz w:val="21"/>
      <w:szCs w:val="20"/>
    </w:rPr>
  </w:style>
  <w:style w:type="paragraph" w:styleId="913" w:customStyle="1">
    <w:name w:val="标题 3_0"/>
    <w:basedOn w:val="914"/>
    <w:next w:val="915"/>
    <w:qFormat/>
    <w:pPr>
      <w:keepLines/>
      <w:keepNext/>
      <w:spacing w:before="260" w:after="260" w:line="416" w:lineRule="auto"/>
      <w:outlineLvl w:val="2"/>
    </w:pPr>
    <w:rPr>
      <w:rFonts w:eastAsia="宋体"/>
      <w:b/>
      <w:bCs/>
      <w:sz w:val="32"/>
      <w:szCs w:val="32"/>
    </w:rPr>
  </w:style>
  <w:style w:type="paragraph" w:styleId="914" w:customStyle="1">
    <w:name w:val="正文_0"/>
    <w:next w:val="909"/>
    <w:qFormat/>
    <w:pPr>
      <w:jc w:val="both"/>
      <w:widowControl w:val="off"/>
    </w:pPr>
    <w:rPr>
      <w:rFonts w:ascii="Calibri" w:hAnsi="Calibri" w:eastAsia="仿宋_GB2312"/>
      <w:sz w:val="21"/>
      <w:szCs w:val="22"/>
    </w:rPr>
  </w:style>
  <w:style w:type="paragraph" w:styleId="915" w:customStyle="1">
    <w:name w:val="正文_1"/>
    <w:next w:val="909"/>
    <w:qFormat/>
    <w:pPr>
      <w:jc w:val="both"/>
      <w:widowControl w:val="off"/>
    </w:pPr>
    <w:rPr>
      <w:rFonts w:ascii="Calibri" w:hAnsi="Calibri" w:eastAsia="仿宋_GB2312"/>
      <w:sz w:val="21"/>
      <w:szCs w:val="22"/>
    </w:rPr>
  </w:style>
  <w:style w:type="paragraph" w:styleId="916" w:customStyle="1">
    <w:name w:val="列出段落1"/>
    <w:basedOn w:val="875"/>
    <w:qFormat/>
    <w:pPr>
      <w:ind w:firstLine="420"/>
    </w:pPr>
    <w:rPr>
      <w:szCs w:val="22"/>
    </w:rPr>
  </w:style>
  <w:style w:type="character" w:styleId="917" w:customStyle="1">
    <w:name w:val="正文文本 Char"/>
    <w:basedOn w:val="880"/>
    <w:uiPriority w:val="99"/>
    <w:semiHidden/>
    <w:qFormat/>
    <w:rPr>
      <w:rFonts w:ascii="Times New Roman" w:hAnsi="Times New Roman" w:eastAsia="宋体" w:cs="Times New Roman"/>
      <w:sz w:val="24"/>
      <w:szCs w:val="24"/>
    </w:rPr>
  </w:style>
  <w:style w:type="character" w:styleId="918" w:customStyle="1">
    <w:name w:val="正文文本缩进 3 Char"/>
    <w:basedOn w:val="880"/>
    <w:uiPriority w:val="99"/>
    <w:semiHidden/>
    <w:qFormat/>
    <w:rPr>
      <w:rFonts w:ascii="Times New Roman" w:hAnsi="Times New Roman" w:eastAsia="宋体" w:cs="Times New Roman"/>
      <w:sz w:val="16"/>
      <w:szCs w:val="16"/>
    </w:rPr>
  </w:style>
  <w:style w:type="character" w:styleId="919" w:customStyle="1">
    <w:name w:val="正文文本 Char1"/>
    <w:link w:val="888"/>
    <w:uiPriority w:val="99"/>
    <w:qFormat/>
    <w:rPr>
      <w:rFonts w:ascii="Times New Roman" w:hAnsi="Times New Roman" w:eastAsia="宋体" w:cs="Times New Roman"/>
      <w:sz w:val="24"/>
      <w:szCs w:val="24"/>
    </w:rPr>
  </w:style>
  <w:style w:type="character" w:styleId="920" w:customStyle="1">
    <w:name w:val="正文文本缩进 3 Char1"/>
    <w:link w:val="900"/>
    <w:uiPriority w:val="99"/>
    <w:qFormat/>
    <w:rPr>
      <w:rFonts w:ascii="Arial" w:hAnsi="Arial" w:eastAsia="仿宋_GB2312"/>
      <w:color w:val="ffff00"/>
      <w:sz w:val="32"/>
    </w:rPr>
  </w:style>
  <w:style w:type="paragraph" w:styleId="921" w:customStyle="1">
    <w:name w:val="WPS Plain"/>
    <w:qFormat/>
  </w:style>
  <w:style w:type="character" w:styleId="922" w:customStyle="1">
    <w:name w:val="页眉 Char"/>
    <w:basedOn w:val="880"/>
    <w:link w:val="898"/>
    <w:uiPriority w:val="99"/>
    <w:qFormat/>
    <w:rPr>
      <w:rFonts w:ascii="Times New Roman" w:hAnsi="Times New Roman" w:eastAsia="宋体" w:cs="Times New Roman"/>
      <w:sz w:val="18"/>
      <w:szCs w:val="18"/>
    </w:rPr>
  </w:style>
  <w:style w:type="character" w:styleId="923" w:customStyle="1">
    <w:name w:val="页脚 Char"/>
    <w:basedOn w:val="880"/>
    <w:link w:val="896"/>
    <w:uiPriority w:val="99"/>
    <w:qFormat/>
    <w:rPr>
      <w:rFonts w:ascii="Times New Roman" w:hAnsi="Times New Roman" w:eastAsia="宋体" w:cs="Times New Roman"/>
      <w:sz w:val="18"/>
      <w:szCs w:val="18"/>
    </w:rPr>
  </w:style>
  <w:style w:type="character" w:styleId="924" w:customStyle="1">
    <w:name w:val="批注框文本 Char"/>
    <w:basedOn w:val="880"/>
    <w:link w:val="895"/>
    <w:uiPriority w:val="99"/>
    <w:semiHidden/>
    <w:qFormat/>
    <w:rPr>
      <w:rFonts w:ascii="Times New Roman" w:hAnsi="Times New Roman" w:eastAsia="宋体" w:cs="Times New Roman"/>
      <w:sz w:val="18"/>
      <w:szCs w:val="18"/>
    </w:rPr>
  </w:style>
  <w:style w:type="character" w:styleId="925" w:customStyle="1">
    <w:name w:val="文档结构图 Char"/>
    <w:basedOn w:val="880"/>
    <w:link w:val="886"/>
    <w:uiPriority w:val="99"/>
    <w:qFormat/>
    <w:rPr>
      <w:rFonts w:ascii="宋体" w:hAnsi="Times New Roman" w:eastAsia="宋体" w:cs="Times New Roman"/>
      <w:sz w:val="18"/>
      <w:szCs w:val="18"/>
    </w:rPr>
  </w:style>
  <w:style w:type="character" w:styleId="926" w:customStyle="1">
    <w:name w:val="批注文字 Char"/>
    <w:basedOn w:val="880"/>
    <w:link w:val="887"/>
    <w:uiPriority w:val="99"/>
    <w:qFormat/>
    <w:rPr>
      <w:rFonts w:ascii="Times New Roman" w:hAnsi="Times New Roman" w:eastAsia="宋体" w:cs="Times New Roman"/>
      <w:sz w:val="24"/>
      <w:szCs w:val="24"/>
    </w:rPr>
  </w:style>
  <w:style w:type="character" w:styleId="927" w:customStyle="1">
    <w:name w:val="批注主题 Char"/>
    <w:basedOn w:val="926"/>
    <w:link w:val="903"/>
    <w:uiPriority w:val="99"/>
    <w:semiHidden/>
    <w:qFormat/>
    <w:rPr>
      <w:rFonts w:ascii="Times New Roman" w:hAnsi="Times New Roman" w:eastAsia="宋体" w:cs="Times New Roman"/>
      <w:b/>
      <w:bCs/>
      <w:sz w:val="24"/>
      <w:szCs w:val="24"/>
    </w:rPr>
  </w:style>
  <w:style w:type="paragraph" w:styleId="928" w:customStyle="1">
    <w:name w:val="正文首行缩进2字符"/>
    <w:basedOn w:val="875"/>
    <w:qFormat/>
    <w:pPr>
      <w:ind w:firstLine="482"/>
    </w:pPr>
  </w:style>
  <w:style w:type="character" w:styleId="929" w:customStyle="1">
    <w:name w:val="current"/>
    <w:basedOn w:val="880"/>
    <w:qFormat/>
    <w:rPr>
      <w:b/>
      <w:bCs/>
      <w:color w:val="05a7d8"/>
      <w:sz w:val="18"/>
      <w:szCs w:val="18"/>
    </w:rPr>
  </w:style>
  <w:style w:type="character" w:styleId="930" w:customStyle="1">
    <w:name w:val="l-btn-left"/>
    <w:basedOn w:val="880"/>
    <w:qFormat/>
  </w:style>
  <w:style w:type="character" w:styleId="931" w:customStyle="1">
    <w:name w:val="l-btn-text36"/>
    <w:basedOn w:val="880"/>
    <w:qFormat/>
  </w:style>
  <w:style w:type="character" w:styleId="932" w:customStyle="1">
    <w:name w:val="l-btn-text"/>
    <w:basedOn w:val="880"/>
    <w:qFormat/>
  </w:style>
  <w:style w:type="character" w:styleId="933" w:customStyle="1">
    <w:name w:val="grame"/>
    <w:basedOn w:val="880"/>
    <w:qFormat/>
  </w:style>
  <w:style w:type="paragraph" w:styleId="934" w:customStyle="1">
    <w:name w:val="标准文本"/>
    <w:basedOn w:val="875"/>
    <w:qFormat/>
    <w:pPr>
      <w:ind w:firstLine="480"/>
      <w:spacing w:line="360" w:lineRule="auto"/>
    </w:pPr>
    <w:rPr>
      <w:rFonts w:cs="宋体"/>
      <w:szCs w:val="20"/>
    </w:rPr>
  </w:style>
  <w:style w:type="paragraph" w:styleId="935" w:customStyle="1">
    <w:name w:val="_Style 3"/>
    <w:uiPriority w:val="1"/>
    <w:qFormat/>
    <w:pPr>
      <w:jc w:val="both"/>
      <w:widowControl w:val="off"/>
    </w:pPr>
    <w:rPr>
      <w:rFonts w:ascii="Calibri" w:hAnsi="Calibri"/>
      <w:sz w:val="21"/>
      <w:szCs w:val="22"/>
    </w:rPr>
  </w:style>
  <w:style w:type="paragraph" w:styleId="936" w:customStyle="1">
    <w:name w:val="普通正文"/>
    <w:basedOn w:val="875"/>
    <w:qFormat/>
    <w:pPr>
      <w:ind w:firstLine="480"/>
      <w:jc w:val="left"/>
      <w:spacing w:before="120" w:after="120" w:line="360" w:lineRule="auto"/>
    </w:pPr>
    <w:rPr>
      <w:rFonts w:ascii="Arial" w:hAnsi="Arial"/>
    </w:rPr>
  </w:style>
  <w:style w:type="paragraph" w:styleId="937" w:customStyle="1">
    <w:name w:val="（符号）三标题1.1"/>
    <w:basedOn w:val="875"/>
    <w:qFormat/>
    <w:pPr>
      <w:numPr>
        <w:ilvl w:val="1"/>
        <w:numId w:val="1"/>
      </w:numPr>
      <w:spacing w:line="500" w:lineRule="exact"/>
      <w:tabs>
        <w:tab w:val="left" w:pos="700" w:leader="none"/>
      </w:tabs>
    </w:pPr>
  </w:style>
  <w:style w:type="character" w:styleId="938" w:customStyle="1">
    <w:name w:val="NormalCharacter"/>
    <w:uiPriority w:val="99"/>
    <w:qFormat/>
    <w:rPr>
      <w:sz w:val="21"/>
      <w:szCs w:val="22"/>
      <w:lang w:val="en-US" w:eastAsia="zh-CN" w:bidi="ar-SA"/>
    </w:rPr>
  </w:style>
  <w:style w:type="paragraph" w:styleId="939" w:customStyle="1">
    <w:name w:val="Table Paragraph"/>
    <w:basedOn w:val="875"/>
    <w:uiPriority w:val="1"/>
    <w:qFormat/>
  </w:style>
  <w:style w:type="paragraph" w:styleId="940" w:customStyle="1">
    <w:name w:val="UserStyle_0"/>
    <w:basedOn w:val="875"/>
    <w:qFormat/>
    <w:pPr>
      <w:ind w:firstLine="420"/>
    </w:pPr>
    <w:rPr>
      <w:szCs w:val="21"/>
    </w:rPr>
  </w:style>
  <w:style w:type="paragraph" w:styleId="941" w:customStyle="1">
    <w:name w:val="p0"/>
    <w:basedOn w:val="875"/>
    <w:qFormat/>
    <w:pPr>
      <w:widowControl/>
    </w:pPr>
    <w:rPr>
      <w:szCs w:val="21"/>
    </w:rPr>
  </w:style>
  <w:style w:type="paragraph" w:styleId="942" w:customStyle="1">
    <w:name w:val="p16"/>
    <w:basedOn w:val="875"/>
    <w:qFormat/>
    <w:pPr>
      <w:ind w:firstLine="420"/>
      <w:jc w:val="left"/>
      <w:spacing w:after="200"/>
      <w:widowControl/>
    </w:pPr>
    <w:rPr>
      <w:rFonts w:ascii="Tahoma" w:hAnsi="Tahoma" w:cs="Tahoma"/>
      <w:sz w:val="22"/>
    </w:rPr>
  </w:style>
  <w:style w:type="paragraph" w:styleId="943" w:customStyle="1">
    <w:name w:val="目录 51"/>
    <w:basedOn w:val="875"/>
    <w:next w:val="875"/>
    <w:uiPriority w:val="99"/>
    <w:qFormat/>
    <w:pPr>
      <w:ind w:left="800"/>
    </w:pPr>
    <w:rPr>
      <w:rFonts w:ascii="Calibri" w:hAnsi="Calibri"/>
      <w:szCs w:val="22"/>
    </w:rPr>
  </w:style>
  <w:style w:type="paragraph" w:styleId="944" w:customStyle="1">
    <w:name w:val="Body text|1"/>
    <w:basedOn w:val="875"/>
    <w:qFormat/>
    <w:pPr>
      <w:ind w:firstLine="400"/>
      <w:jc w:val="left"/>
      <w:spacing w:after="200" w:line="410" w:lineRule="auto"/>
      <w:widowControl/>
    </w:pPr>
    <w:rPr>
      <w:rFonts w:ascii="宋体" w:hAnsi="宋体" w:cs="宋体"/>
      <w:sz w:val="22"/>
      <w:szCs w:val="22"/>
      <w:lang w:val="zh-TW" w:eastAsia="zh-TW" w:bidi="zh-TW"/>
    </w:rPr>
  </w:style>
  <w:style w:type="table" w:styleId="945" w:customStyle="1">
    <w:name w:val="Table Normal"/>
    <w:unhideWhenUsed/>
    <w:qFormat/>
    <w:rPr>
      <w:rFonts w:ascii="Calibri" w:hAnsi="Calibri"/>
    </w:rPr>
    <w:tblPr>
      <w:tblCellMar>
        <w:left w:w="0" w:type="dxa"/>
        <w:top w:w="0" w:type="dxa"/>
        <w:right w:w="0" w:type="dxa"/>
        <w:bottom w:w="0" w:type="dxa"/>
      </w:tblCellMar>
    </w:tblPr>
  </w:style>
  <w:style w:type="paragraph" w:styleId="946" w:customStyle="1">
    <w:name w:val="Table Text"/>
    <w:basedOn w:val="875"/>
    <w:semiHidden/>
    <w:qFormat/>
    <w:rPr>
      <w:rFonts w:ascii="宋体" w:hAnsi="宋体" w:cs="宋体"/>
    </w:rPr>
  </w:style>
  <w:style w:type="character" w:styleId="947" w:customStyle="1">
    <w:name w:val="wyg1"/>
    <w:uiPriority w:val="6"/>
    <w:qFormat/>
    <w:rPr>
      <w:rFonts w:ascii="Times New Roman" w:hAnsi="Times New Roman" w:eastAsia="宋体" w:cs="Times New Roman"/>
      <w:lang w:val="en-US" w:eastAsia="zh-CN" w:bidi="ar-SA"/>
    </w:rPr>
  </w:style>
  <w:style w:type="paragraph" w:styleId="948" w:customStyle="1">
    <w:name w:val="正文11"/>
    <w:next w:val="949"/>
    <w:qFormat/>
    <w:pPr>
      <w:jc w:val="both"/>
      <w:widowControl w:val="off"/>
    </w:pPr>
    <w:rPr>
      <w:sz w:val="21"/>
      <w:szCs w:val="24"/>
    </w:rPr>
  </w:style>
  <w:style w:type="paragraph" w:styleId="949" w:customStyle="1">
    <w:name w:val="目录 11"/>
    <w:basedOn w:val="950"/>
    <w:next w:val="948"/>
    <w:qFormat/>
  </w:style>
  <w:style w:type="paragraph" w:styleId="950" w:customStyle="1">
    <w:name w:val="正文12"/>
    <w:next w:val="951"/>
    <w:qFormat/>
    <w:pPr>
      <w:ind w:firstLine="723"/>
      <w:jc w:val="both"/>
      <w:spacing w:line="360" w:lineRule="auto"/>
      <w:widowControl w:val="off"/>
    </w:pPr>
    <w:rPr>
      <w:sz w:val="24"/>
      <w:szCs w:val="24"/>
    </w:rPr>
  </w:style>
  <w:style w:type="paragraph" w:styleId="951" w:customStyle="1">
    <w:name w:val="脚注文本1"/>
    <w:basedOn w:val="952"/>
    <w:next w:val="954"/>
    <w:qFormat/>
    <w:pPr>
      <w:jc w:val="left"/>
    </w:pPr>
    <w:rPr>
      <w:rFonts w:ascii="宋体" w:eastAsia="Times New Roman"/>
      <w:sz w:val="18"/>
      <w:szCs w:val="18"/>
    </w:rPr>
  </w:style>
  <w:style w:type="paragraph" w:styleId="952" w:customStyle="1">
    <w:name w:val="正文1111"/>
    <w:next w:val="953"/>
    <w:qFormat/>
    <w:pPr>
      <w:jc w:val="both"/>
      <w:widowControl w:val="off"/>
    </w:pPr>
    <w:rPr>
      <w:sz w:val="21"/>
      <w:szCs w:val="24"/>
    </w:rPr>
  </w:style>
  <w:style w:type="paragraph" w:styleId="953" w:customStyle="1">
    <w:name w:val="文本块11"/>
    <w:basedOn w:val="875"/>
    <w:unhideWhenUsed/>
    <w:qFormat/>
    <w:pPr>
      <w:ind w:left="1440" w:right="1440"/>
      <w:spacing w:after="120"/>
    </w:pPr>
  </w:style>
  <w:style w:type="paragraph" w:styleId="954" w:customStyle="1">
    <w:name w:val="索引 51"/>
    <w:basedOn w:val="955"/>
    <w:next w:val="955"/>
    <w:qFormat/>
    <w:pPr>
      <w:ind w:left="798"/>
      <w:jc w:val="left"/>
    </w:pPr>
    <w:rPr>
      <w:rFonts w:ascii="Calibri" w:hAnsi="Calibri"/>
    </w:rPr>
  </w:style>
  <w:style w:type="paragraph" w:styleId="955" w:customStyle="1">
    <w:name w:val="正文1"/>
    <w:basedOn w:val="956"/>
    <w:next w:val="957"/>
    <w:qFormat/>
  </w:style>
  <w:style w:type="paragraph" w:styleId="956" w:customStyle="1">
    <w:name w:val="正文111"/>
    <w:next w:val="957"/>
    <w:qFormat/>
    <w:pPr>
      <w:jc w:val="both"/>
      <w:widowControl w:val="off"/>
    </w:pPr>
    <w:rPr>
      <w:sz w:val="21"/>
      <w:szCs w:val="24"/>
    </w:rPr>
  </w:style>
  <w:style w:type="paragraph" w:styleId="957" w:customStyle="1">
    <w:name w:val="正文文本1"/>
    <w:basedOn w:val="948"/>
    <w:next w:val="955"/>
    <w:qFormat/>
    <w:pPr>
      <w:spacing w:after="120"/>
    </w:pPr>
    <w:rPr>
      <w:rFonts w:ascii="Calibri" w:hAnsi="Calibri"/>
    </w:rPr>
  </w:style>
  <w:style w:type="paragraph" w:styleId="958" w:customStyle="1">
    <w:name w:val="普通(网站)1"/>
    <w:basedOn w:val="875"/>
    <w:qFormat/>
    <w:pPr>
      <w:jc w:val="left"/>
      <w:spacing w:before="100" w:beforeAutospacing="1" w:after="100" w:afterAutospacing="1"/>
      <w:widowControl/>
    </w:pPr>
    <w:rPr>
      <w:rFonts w:ascii="宋体" w:hAnsi="宋体"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郁琴</cp:lastModifiedBy>
  <cp:revision>132</cp:revision>
  <dcterms:created xsi:type="dcterms:W3CDTF">2022-12-29T07:08:00Z</dcterms:created>
  <dcterms:modified xsi:type="dcterms:W3CDTF">2026-04-17T02:29:43Z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3C6A6AD3A33849C0ADF2816709B2506E_13</vt:lpwstr>
  </property>
  <property fmtid="{D5CDD505-2E9C-101B-9397-08002B2CF9AE}" pid="4" name="KSOTemplateDocerSaveRecord">
    <vt:lpwstr>eyJoZGlkIjoiMGI3YjRiZjQzNzgzNDU4NDg2ODg5ZDg5ZWIzZTU0MTUiLCJ1c2VySWQiOiI2Mjg1MjQ2MjIifQ==</vt:lpwstr>
  </property>
</Properties>
</file>